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409F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0463D5E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512A77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(октябрь 2020 г.)</w:t>
      </w:r>
    </w:p>
    <w:p w14:paraId="37B01757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7C2F88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Республика Беларусь – социальное государство: сущность и основные направления государственной социальной политики </w:t>
      </w:r>
    </w:p>
    <w:p w14:paraId="2C3866D3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ACD6E38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060A0B5A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A62273A" w14:textId="2A5D4F00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здравоохранения Республики Беларусь, </w:t>
      </w: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образования Республики Беларусь, Министерства труда и социальной защиты Республики Беларусь,</w:t>
      </w:r>
    </w:p>
    <w:p w14:paraId="17DBB663" w14:textId="77777777" w:rsidR="002350FF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Министерство жилищно-коммунального хозяйства Республики Беларусь,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транспорта и коммуникаций Республики Беларусь,</w:t>
      </w:r>
      <w:r w:rsidR="00893435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финансов Республики Беларусь,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3287CA5E" w14:textId="1587DAA5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Национальной академии наук Беларуси. </w:t>
      </w:r>
    </w:p>
    <w:p w14:paraId="1E6B3A03" w14:textId="77777777" w:rsidR="00D071A5" w:rsidRPr="006011DB" w:rsidRDefault="00D071A5" w:rsidP="00D071A5">
      <w:pPr>
        <w:tabs>
          <w:tab w:val="left" w:pos="5790"/>
        </w:tabs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ab/>
      </w:r>
    </w:p>
    <w:p w14:paraId="129D51F8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 всегда будет человек, его интересы и потребности. Об этом Президент Беларуси А.Г.Лукашенко заявил 23 сентября 2020 г. </w:t>
      </w:r>
      <w:hyperlink r:id="rId7" w:tgtFrame="_blank" w:history="1">
        <w:r w:rsidRPr="006011D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во время торжественной церемонии инаугурации</w:t>
        </w:r>
      </w:hyperlink>
      <w:r w:rsidRPr="006011DB">
        <w:rPr>
          <w:rFonts w:ascii="Times New Roman" w:hAnsi="Times New Roman" w:cs="Times New Roman"/>
          <w:sz w:val="30"/>
          <w:szCs w:val="30"/>
        </w:rPr>
        <w:t xml:space="preserve"> во Дворце Независимости. </w:t>
      </w:r>
      <w:r w:rsidRPr="006011DB">
        <w:rPr>
          <w:rFonts w:ascii="Times New Roman" w:hAnsi="Times New Roman" w:cs="Times New Roman"/>
          <w:b/>
          <w:sz w:val="30"/>
          <w:szCs w:val="30"/>
        </w:rPr>
        <w:t>«Сила белорусской власти, залог доверия к ней заключаются в том, что даже в самые трудные времена мы не отказывались от своей социальной политики, от социально ориентированного государства. Поддержка пенсионеров, многодетных семей, социально уязвимых слоев общества останется визитной карточкой белорусского пути при любых обстоятельствах и в любых условиях»</w:t>
      </w:r>
      <w:r w:rsidRPr="006011DB">
        <w:rPr>
          <w:rFonts w:ascii="Times New Roman" w:hAnsi="Times New Roman" w:cs="Times New Roman"/>
          <w:sz w:val="30"/>
          <w:szCs w:val="30"/>
        </w:rPr>
        <w:t>, – подчеркнул белорусский лидер.</w:t>
      </w:r>
    </w:p>
    <w:p w14:paraId="385E5882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6763CA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О некоторых аспектах социального государства</w:t>
      </w:r>
    </w:p>
    <w:p w14:paraId="5101D32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Человек – высшая ценность социального государства, которое создает все необходимые условия для обеспечения его достойной жизни и свободного развития.</w:t>
      </w:r>
    </w:p>
    <w:p w14:paraId="4E0F062A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зависимости от степени участия государства в поддержке социальной сферы можно выделить три основные модели социального государства. </w:t>
      </w:r>
      <w:r w:rsidRPr="006011DB">
        <w:rPr>
          <w:rFonts w:ascii="Times New Roman" w:hAnsi="Times New Roman" w:cs="Times New Roman"/>
          <w:i/>
          <w:sz w:val="30"/>
          <w:szCs w:val="30"/>
        </w:rPr>
        <w:t>Американо-британская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модель характеризуется минимальным участием государства, а финансовую основу реализации социальных программ составляют в первую очередь частные сбережения и частное страхование.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Подобная модель социального государства характерна для США, Англии и Ирландии.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Скандинавская модель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является полной ее противоположностью. Эта модель воплощается в политике таких стран, как Швеция, Финляндия, Дания, Норвегия. Доля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социальных расходов в этих странах очень высока: значительную часть расходов на социальные нужды берет на себя государство, также оно является ключевым производителем социальных услуг. В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континентальной модели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государство, как правило, несет ответственность только за выдачу социальных пособий, но не организацию социальных услуг. Здесь бюджетные отчисления и страховые взносы работника и работодателя на социальные мероприятия примерно равны. Этой модели следуют Германия, Франция, Австрия, Бельгия.</w:t>
      </w:r>
    </w:p>
    <w:p w14:paraId="316C6887" w14:textId="4FE6E288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Используя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передовой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опыт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зарубежных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стран в Беларуси построили свою уникальную модель.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«Государство для народа, справедливость, защита простого человека – это то, на чем стояла и стоять будет белорусская государственность»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– подчеркнул Глава государства А.Г.Лукашенко еще на </w:t>
      </w:r>
      <w:r w:rsidRPr="006011DB">
        <w:rPr>
          <w:rFonts w:ascii="Times New Roman" w:hAnsi="Times New Roman" w:cs="Times New Roman"/>
          <w:sz w:val="30"/>
          <w:szCs w:val="30"/>
        </w:rPr>
        <w:t>пятом Всебелорусском народном собрании в 2016 году.</w:t>
      </w:r>
    </w:p>
    <w:p w14:paraId="26F2D2C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Например, даже в условиях экономии республиканского бюджета на 2020 год социальная направленность государственной политики Беларуси была не только сохранена, но и усилена. В текущем году были существенно увеличены расходы бюджета на оплату труда, выплату пенсий, стипендий, пособий,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а также на выполнение государственных социальных стандартов</w:t>
      </w:r>
      <w:r w:rsidRPr="006011DB">
        <w:rPr>
          <w:rFonts w:ascii="Times New Roman" w:hAnsi="Times New Roman" w:cs="Times New Roman"/>
          <w:sz w:val="30"/>
          <w:szCs w:val="30"/>
        </w:rPr>
        <w:t xml:space="preserve">. Так, в структуре расходов консолидированного бюджета в 2020 году социальные расходы стали самыми значительными – 44,4%. Из них 17,8% предусмотрено на образование, 15,3% – здравоохранение, 8,1% </w:t>
      </w:r>
      <w:r w:rsidR="008920C9" w:rsidRPr="006011DB">
        <w:rPr>
          <w:rFonts w:ascii="Times New Roman" w:hAnsi="Times New Roman" w:cs="Times New Roman"/>
          <w:sz w:val="30"/>
          <w:szCs w:val="30"/>
        </w:rPr>
        <w:t xml:space="preserve">– </w:t>
      </w:r>
      <w:r w:rsidRPr="006011DB">
        <w:rPr>
          <w:rFonts w:ascii="Times New Roman" w:hAnsi="Times New Roman" w:cs="Times New Roman"/>
          <w:sz w:val="30"/>
          <w:szCs w:val="30"/>
        </w:rPr>
        <w:t xml:space="preserve">социальную политику, 3,2% – физическую культуру и спорт, культуру и средства массовой информации. Благодаря этому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наши граждане продолжают пользоваться бесплатным и современным медобслуживанием, получать высшее образование за счет бюджета, оплачивать коммунальные услуги по тарифам ниже реальной себестоимости. Рационально, с учетом потребностей людей, организована система соцзащиты.</w:t>
      </w:r>
    </w:p>
    <w:p w14:paraId="4C8C8D3B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 другой стороны, подобная поддержка требует значительных инвестиций от нашего государства, что обеспечивается финансированием за счет поступающих в бюджет денежных средств. Каждый гражданин Беларуси участвует в формировании и использовании средств бюджета: как налогоплательщик – в части его формирования, и как потребитель услуг, предоставляемых государством, – в части его использования.</w:t>
      </w:r>
    </w:p>
    <w:p w14:paraId="4712FD14" w14:textId="1E31769A" w:rsidR="00D071A5" w:rsidRPr="006011DB" w:rsidRDefault="00D071A5" w:rsidP="00D071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Наша модель социального государства доказала свою эффективность и в сравнении с другими странами выглядит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весьма достойно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3E83D0A4" w14:textId="77777777" w:rsidR="00D071A5" w:rsidRPr="006011DB" w:rsidRDefault="00D071A5" w:rsidP="00D071A5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br w:type="page"/>
      </w:r>
    </w:p>
    <w:p w14:paraId="61E7FE64" w14:textId="5B449547" w:rsidR="00D071A5" w:rsidRPr="009278CE" w:rsidRDefault="00D071A5" w:rsidP="009278C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lastRenderedPageBreak/>
        <w:t>Приоритетные направления социальной политики Республики</w:t>
      </w:r>
      <w:r w:rsidR="00044CDF"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Беларусь</w:t>
      </w:r>
    </w:p>
    <w:p w14:paraId="1C1721DD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Государственная политика в социально-трудовой сфере</w:t>
      </w:r>
    </w:p>
    <w:p w14:paraId="3E7AE577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Обеспечение эффективной занятости населения играет важную роль в осуществлении социальной политики белорусского государства. В целях р</w:t>
      </w:r>
      <w:r w:rsidRPr="006011DB">
        <w:rPr>
          <w:rFonts w:ascii="Times New Roman" w:hAnsi="Times New Roman"/>
          <w:sz w:val="30"/>
          <w:szCs w:val="30"/>
        </w:rPr>
        <w:t>ешения данных вопросов в Беларуси реализуются</w:t>
      </w:r>
      <w:r w:rsidRPr="006011DB">
        <w:rPr>
          <w:rFonts w:ascii="Times New Roman" w:hAnsi="Times New Roman"/>
          <w:spacing w:val="-6"/>
          <w:sz w:val="30"/>
          <w:szCs w:val="30"/>
        </w:rPr>
        <w:t xml:space="preserve"> мероприятия подпрограммы 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«</w:t>
      </w:r>
      <w:r w:rsidRPr="006011DB">
        <w:rPr>
          <w:rFonts w:ascii="Times New Roman" w:hAnsi="Times New Roman"/>
          <w:sz w:val="30"/>
          <w:szCs w:val="30"/>
        </w:rPr>
        <w:t xml:space="preserve">Содействие занятости населения» </w:t>
      </w:r>
      <w:r w:rsidRPr="006011DB">
        <w:rPr>
          <w:rFonts w:ascii="Times New Roman" w:hAnsi="Times New Roman"/>
          <w:b/>
          <w:spacing w:val="-4"/>
          <w:sz w:val="30"/>
          <w:szCs w:val="30"/>
        </w:rPr>
        <w:t>Государственной программы о социальной</w:t>
      </w:r>
      <w:r w:rsidRPr="006011DB">
        <w:rPr>
          <w:rFonts w:ascii="Times New Roman" w:hAnsi="Times New Roman"/>
          <w:b/>
          <w:sz w:val="30"/>
          <w:szCs w:val="30"/>
        </w:rPr>
        <w:t xml:space="preserve"> защите и содействии занятости населения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Fonts w:ascii="Times New Roman" w:hAnsi="Times New Roman"/>
          <w:b/>
          <w:sz w:val="30"/>
          <w:szCs w:val="30"/>
        </w:rPr>
        <w:t>на 2016 – 2020 годы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0BC1D954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Style w:val="FontStyle32"/>
          <w:bCs/>
          <w:iCs/>
          <w:color w:val="auto"/>
        </w:rPr>
      </w:pPr>
      <w:r w:rsidRPr="006011DB">
        <w:rPr>
          <w:rFonts w:ascii="Times New Roman" w:hAnsi="Times New Roman"/>
          <w:sz w:val="30"/>
          <w:szCs w:val="30"/>
        </w:rPr>
        <w:t xml:space="preserve">Результат проводимой работы – </w:t>
      </w:r>
      <w:r w:rsidRPr="006011DB">
        <w:rPr>
          <w:rFonts w:ascii="Times New Roman" w:hAnsi="Times New Roman"/>
          <w:b/>
          <w:sz w:val="30"/>
          <w:szCs w:val="30"/>
        </w:rPr>
        <w:t>сокращение уровня безработицы среди населения</w:t>
      </w:r>
      <w:r w:rsidRPr="006011DB">
        <w:rPr>
          <w:rFonts w:ascii="Times New Roman" w:hAnsi="Times New Roman"/>
          <w:sz w:val="30"/>
          <w:szCs w:val="30"/>
        </w:rPr>
        <w:t xml:space="preserve">, рассчитанный по методологии МОТ. В </w:t>
      </w:r>
      <w:r w:rsidRPr="006011DB">
        <w:rPr>
          <w:rFonts w:ascii="Times New Roman" w:hAnsi="Times New Roman"/>
          <w:sz w:val="30"/>
          <w:szCs w:val="30"/>
          <w:lang w:val="en-US"/>
        </w:rPr>
        <w:t>I</w:t>
      </w:r>
      <w:r w:rsidRPr="006011DB">
        <w:rPr>
          <w:rFonts w:ascii="Times New Roman" w:hAnsi="Times New Roman"/>
          <w:sz w:val="30"/>
          <w:szCs w:val="30"/>
        </w:rPr>
        <w:t xml:space="preserve"> полугодии 2020 г. он составил 4,1% </w:t>
      </w:r>
      <w:r w:rsidRPr="006011DB">
        <w:rPr>
          <w:rFonts w:ascii="Times New Roman" w:hAnsi="Times New Roman"/>
          <w:i/>
          <w:sz w:val="28"/>
          <w:szCs w:val="28"/>
        </w:rPr>
        <w:t xml:space="preserve">(в первом полугодии </w:t>
      </w:r>
      <w:r w:rsidRPr="006011DB">
        <w:rPr>
          <w:rFonts w:ascii="Times New Roman" w:hAnsi="Times New Roman"/>
          <w:i/>
          <w:sz w:val="28"/>
          <w:szCs w:val="28"/>
          <w:lang w:val="be-BY"/>
        </w:rPr>
        <w:t xml:space="preserve">2019 г. </w:t>
      </w:r>
      <w:r w:rsidRPr="006011DB">
        <w:rPr>
          <w:rFonts w:ascii="Times New Roman" w:hAnsi="Times New Roman"/>
          <w:i/>
          <w:sz w:val="28"/>
          <w:szCs w:val="28"/>
        </w:rPr>
        <w:t>– 4,4%)</w:t>
      </w:r>
      <w:r w:rsidRPr="006011DB">
        <w:rPr>
          <w:rFonts w:ascii="Times New Roman" w:hAnsi="Times New Roman"/>
          <w:sz w:val="30"/>
          <w:szCs w:val="30"/>
        </w:rPr>
        <w:t xml:space="preserve">. Следует отметить, что в </w:t>
      </w:r>
      <w:r w:rsidRPr="006011DB">
        <w:rPr>
          <w:rStyle w:val="FontStyle32"/>
          <w:bCs/>
          <w:color w:val="auto"/>
          <w:szCs w:val="30"/>
        </w:rPr>
        <w:t>большинстве стран уровень безработицы превышает белорусский уровень. Так, в августе 2020 г. в Польше этот показатель составлял – 6,1%, России – 6,4%, Швеции – 8,8%, Литве – 13,7%.</w:t>
      </w:r>
    </w:p>
    <w:p w14:paraId="26BB2FDA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 xml:space="preserve">В условиях экономической ситуации, вызванной пандемией, задача, которая стоит перед государством, – </w:t>
      </w:r>
      <w:r w:rsidRPr="006011DB">
        <w:rPr>
          <w:rFonts w:ascii="Times New Roman" w:hAnsi="Times New Roman" w:cs="Times New Roman"/>
          <w:bCs/>
          <w:sz w:val="30"/>
          <w:szCs w:val="30"/>
        </w:rPr>
        <w:t xml:space="preserve">максимально сохранить трудовые коллективы. В этой связи вместо </w:t>
      </w:r>
      <w:r w:rsidRPr="006011DB">
        <w:rPr>
          <w:rFonts w:ascii="Times New Roman" w:hAnsi="Times New Roman" w:cs="Times New Roman"/>
          <w:sz w:val="30"/>
          <w:szCs w:val="30"/>
        </w:rPr>
        <w:t xml:space="preserve">увольнений работников реализовывались мероприятия по их переводу на сокращенный режим работы, предоставлению отпусков по инициативе нанимателя. </w:t>
      </w:r>
      <w:r w:rsidRPr="006011DB">
        <w:rPr>
          <w:rStyle w:val="FontStyle32"/>
          <w:bCs/>
          <w:color w:val="auto"/>
          <w:szCs w:val="30"/>
        </w:rPr>
        <w:t>В целом задача выполнена – трудовые коллективы сохранены.</w:t>
      </w:r>
    </w:p>
    <w:p w14:paraId="76278AD8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>При этом в целях поддержания доходов граждан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Style w:val="FontStyle32"/>
          <w:bCs/>
          <w:color w:val="auto"/>
          <w:szCs w:val="30"/>
        </w:rPr>
        <w:t>на уровне минимальной трудовой гарантии</w:t>
      </w:r>
      <w:r w:rsidRPr="006011DB">
        <w:rPr>
          <w:rFonts w:ascii="Times New Roman" w:hAnsi="Times New Roman"/>
          <w:sz w:val="30"/>
          <w:szCs w:val="30"/>
        </w:rPr>
        <w:t xml:space="preserve"> в случае их вынужденной неполной занятости или объявления простоя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/>
          <w:bCs/>
          <w:color w:val="auto"/>
          <w:szCs w:val="30"/>
        </w:rPr>
        <w:t>нанимателям предоставлялись субсидии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Cs/>
          <w:i/>
          <w:color w:val="auto"/>
          <w:sz w:val="28"/>
          <w:szCs w:val="28"/>
        </w:rPr>
        <w:t>(направлялись на</w:t>
      </w:r>
      <w:r w:rsidRPr="006011DB">
        <w:rPr>
          <w:rFonts w:ascii="Times New Roman" w:hAnsi="Times New Roman"/>
          <w:i/>
          <w:sz w:val="28"/>
          <w:szCs w:val="28"/>
        </w:rPr>
        <w:t xml:space="preserve"> доплату до минимальной заработной платы работникам в период с 1 мая по 31 июля 2020 года, а также для формирования их пенсионных прав – на уплату взносов в государственный внебюджетный фонд социальной защиты населения)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5E454B4A" w14:textId="634DADB0" w:rsidR="00C86EE7" w:rsidRPr="006011DB" w:rsidRDefault="00C86EE7" w:rsidP="00C8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Вопросы социальной защиты безработных кроме оказания им непосредственной материальной поддержки</w:t>
      </w:r>
      <w:r w:rsidR="003B5948" w:rsidRPr="006011DB">
        <w:rPr>
          <w:rFonts w:ascii="Times New Roman" w:hAnsi="Times New Roman" w:cs="Times New Roman"/>
          <w:sz w:val="30"/>
          <w:szCs w:val="30"/>
        </w:rPr>
        <w:t>,</w:t>
      </w:r>
      <w:r w:rsidRPr="006011DB">
        <w:rPr>
          <w:rFonts w:ascii="Times New Roman" w:hAnsi="Times New Roman" w:cs="Times New Roman"/>
          <w:sz w:val="30"/>
          <w:szCs w:val="30"/>
        </w:rPr>
        <w:t xml:space="preserve"> решаются также за счет проведения эффективной работы по их трудоустройству, и обучению новым, востребованным профессиям. </w:t>
      </w:r>
    </w:p>
    <w:p w14:paraId="0AB3D7D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Сегодня вопросы изменения подходов к социальной поддержке некоторых категорий безработных прорабатываются в рамках подготовки законопроекта, предусматривающего корректировку законодательства о занятости населения.</w:t>
      </w:r>
    </w:p>
    <w:p w14:paraId="306BCFE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Основная задача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в области пенсионного обеспечения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– поддержание уровня пенсионных выплат с учетом финансовых возможностей. В настоящее время в республике проживает почти 2,5 млн. получателей пенсий, из них более 82% – это пенсионеры по возрасту. Совокупные расходы на пенсии в последние годы составляют около 9% ВВП.</w:t>
      </w:r>
    </w:p>
    <w:p w14:paraId="3312F236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условиях глобальной тенденции старения населения многие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государства вынуждены принимать меры, направленные на изыскания средств на выплату пенсий все большему числу пожилых граждан. Не исключение и Беларусь.</w:t>
      </w:r>
    </w:p>
    <w:p w14:paraId="78E2C4AD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Постепенно повышается пенсионный возраст по относительно «мягкому» варианту. Даже после его доведения до 58 лет для женщин и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63 лет для мужчин в 2022 году этот пенсионный возраст будет оставаться одним из самых низких по сравнению с другими странами. При этом сохраняется пятилетняя разбежка в пенсионном возрасте для полов как своего рода «бонус» женщинам за материнство и большую вовлеченность в домашний труд.</w:t>
      </w:r>
    </w:p>
    <w:p w14:paraId="2EA0107E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Справочно.</w:t>
      </w:r>
    </w:p>
    <w:p w14:paraId="4DA57E20" w14:textId="77777777" w:rsidR="00D071A5" w:rsidRPr="006011DB" w:rsidRDefault="00D071A5" w:rsidP="00D071A5">
      <w:pPr>
        <w:widowControl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В большинстве стран установлен одинаковый пенсионный возраст для обоих полов. Так, например, в Литве, Латвии, Эстонии, Чехии, Азербайджане он составляет 65 лет, в Казахстане – 63 года. </w:t>
      </w:r>
    </w:p>
    <w:p w14:paraId="60E46EFC" w14:textId="77777777" w:rsidR="00D071A5" w:rsidRPr="006011DB" w:rsidRDefault="00D071A5" w:rsidP="00D071A5">
      <w:pPr>
        <w:widowControl w:val="0"/>
        <w:spacing w:before="120"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республике сохранено досрочное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пенсионное обеспечение в связи с занятостью в особых условиях труда и отдельными видами профессиональной деятельности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(более ранние пенсии по спискам № 1 и № 2, работникам сельского хозяйства, летчикам, артистам, учителям и медикам)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то же время в других странах такие пенсии упразднены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(Литва, Казахстан)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предоставляются незначительному кругу лиц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(Молдова, Азербайджан, Кыргызстан, Латвия)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</w:p>
    <w:p w14:paraId="36829FD3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Особое внимание государством уделяется покупательной способности пенсий. В целях поддержания уровня пенсионных выплат с 2016 года произведено 8 перерасчетов трудовых пенсий в связи с ростом средней заработной платы.</w:t>
      </w:r>
    </w:p>
    <w:p w14:paraId="78890355" w14:textId="77777777" w:rsidR="00856135" w:rsidRPr="006011DB" w:rsidRDefault="00856135" w:rsidP="00044CDF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</w:p>
    <w:p w14:paraId="2BF47632" w14:textId="00131E96" w:rsidR="00D071A5" w:rsidRPr="006011DB" w:rsidRDefault="00D071A5" w:rsidP="00044CDF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  <w:t>Поддержка семьи – актуальная задача белорусского государства</w:t>
      </w:r>
    </w:p>
    <w:p w14:paraId="5C671EEC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Семейная политика включает в себя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масштабный комплекс мер поддержки семей: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от выплаты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 </w:t>
      </w:r>
      <w:r w:rsidRPr="006011DB">
        <w:rPr>
          <w:rFonts w:ascii="Times New Roman" w:hAnsi="Times New Roman" w:cs="Times New Roman"/>
          <w:sz w:val="30"/>
          <w:szCs w:val="30"/>
        </w:rPr>
        <w:t>Суммарно расходы на систему поддержки семей с детьми ежегодно составляют 3,4% ВВП.</w:t>
      </w:r>
      <w:r w:rsidRPr="006011DB">
        <w:rPr>
          <w:rFonts w:ascii="Arial" w:hAnsi="Arial" w:cs="Arial"/>
          <w:sz w:val="26"/>
          <w:szCs w:val="26"/>
        </w:rPr>
        <w:t xml:space="preserve">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Особый акцент в проводимой политике – на многодетные семьи. На сегодняшний день, только 60% стран Европы реализуют политику стимулирования рождаемости.</w:t>
      </w:r>
    </w:p>
    <w:p w14:paraId="7B1A3DDD" w14:textId="77777777" w:rsidR="00D071A5" w:rsidRPr="006011DB" w:rsidRDefault="00D071A5" w:rsidP="00D071A5">
      <w:pPr>
        <w:spacing w:after="0" w:line="230" w:lineRule="auto"/>
        <w:ind w:left="110" w:firstLine="59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Основным звеном гарантированной поддержки при рождении и воспитании детей в нашей стране выступает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система государственных пособий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(11 видов пособий)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Общее количество детей, на которых производится их выплата, составляет почти 463 тыс. детей или каждый четвертый ребенок в стране. В 2019 году на систему пособий было направлено 2,3 млрд. рублей или 1,7% от ВВП.</w:t>
      </w:r>
    </w:p>
    <w:p w14:paraId="38C44A56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Единовременное пособие в связи с рождением ребенка и пособие по уходу за ребенком в возрасте до 3 лет назначается всем семьям независимо от доходов родителей, их занятости, уплаты страховых взносов. Это отличает нашу систему пособий от других государств.</w:t>
      </w:r>
    </w:p>
    <w:p w14:paraId="5D64933E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76718EBB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В Европе выплаты матерям предусмотрены только для семей с низким уровнем дохода. В Финляндии «бонус» по случаю рождения ребенка и вовсе предоставляют в виде пакета предметов по уходу за новорожденным. А в Испании, Нидерландах, Греции, Ирландии, Великобритании, Лихтенштейне, на Кипре и Мальте пособий не предусмотрено.</w:t>
      </w:r>
    </w:p>
    <w:p w14:paraId="7D7D9AA2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Беларуси данное пособие выплачивается до исполнения ребенку возраста 3 лет включительно. Например, в Казахстане такое пособие выплачивается до исполнения ребенку 1 года, в Российской Федерации – до 1,5 лет, а с 1,5 до 3 лет – с учетом доходов семьи в размере 1-кратной величины регионального прожиточного минимума для детей. Кроме того, </w:t>
      </w:r>
      <w:r w:rsidRPr="006011DB">
        <w:rPr>
          <w:rFonts w:ascii="Times New Roman" w:hAnsi="Times New Roman" w:cs="Times New Roman"/>
          <w:sz w:val="30"/>
          <w:szCs w:val="30"/>
        </w:rPr>
        <w:t>в большинстве европейских стран длительность отпуска по уходу за ребенком не превышает одного года.</w:t>
      </w:r>
    </w:p>
    <w:p w14:paraId="2959957D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Беларусь входит в пятерку стран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с самым длительным отпуском по уходу за ребенком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 том числе Венгрия, Словакия, Украина и Чехия)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В Литве продолжительность такого отпуска – 2 года, Латвии – 1,5 года, Польше – 1 год. В большинстве европейских стран длительность отпуска по уходу за ребенком не превышает года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(Великобритания, Италия, Дания, Словения, Бельгия)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Особенность отпуска Беларуси в том, что он оплачиваемый на протяжении всех трех лет.</w:t>
      </w:r>
    </w:p>
    <w:p w14:paraId="6CC8A5FD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Существенный объем инвестиций направляется в систему поддержки многодетных семей.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2015 года в стране реализуется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программа семейного капитала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а с 1 января 2020 г. расширены направления его досрочного использования с учетом потребностей многодетных семей. </w:t>
      </w:r>
    </w:p>
    <w:p w14:paraId="6894C2FC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2E0922ED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 1 сентября 2020 г. открыто более 88 тыс. вкладов (депозитов) «Семейный капитал», принято более 20 тыс. решений о досрочном распоряжении средствами семейного капитала, из них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  <w:t>92% – на улучшение жилищных условий.</w:t>
      </w:r>
    </w:p>
    <w:p w14:paraId="2F8DAEB9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пенсионном обеспечении и в сфере трудовых отношений также предусматривается ряд льгот и гарантий, обусловленных материнством (отцовством).</w:t>
      </w:r>
    </w:p>
    <w:p w14:paraId="6974B3C4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Одно из направлений проявления заботы государством о своих гражданах – улучшении жилищных условий населения.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Беларуси в январе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августе введено в эксплуатацию 2,13 млн кв.м жилья. Это на 3,4%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больше, чем за аналогичный перио</w:t>
      </w:r>
      <w:r w:rsidR="006A3704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д прошлого года. В целом в 2020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году к вводу предусмотрено 4 млн кв.м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Организации всех форм собственности построили 23,8 тыс. квартир.</w:t>
      </w:r>
    </w:p>
    <w:p w14:paraId="6E4A0370" w14:textId="77777777" w:rsidR="00706CC6" w:rsidRPr="006011DB" w:rsidRDefault="00D071A5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Для граждан, состоящих на учете нуждающихся в улучшении жилищных условий, введено в эксплуатацию 792,6 тыс. кв.м, или 37,1% всего введенного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Из введенного жилья для очередников с использованием господдержки построено 598 тыс. кв.м.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сельских населенных пунктах введено 678,4 тыс. кв.м, или 31,8% ввода по стране.</w:t>
      </w:r>
    </w:p>
    <w:p w14:paraId="1075C2C5" w14:textId="1305AF6B" w:rsidR="00706CC6" w:rsidRPr="006011DB" w:rsidRDefault="00706CC6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На особом контроле Главы государства находится вопрос строительства жилья для многодетных семей. Основное требование – «построить прежде всего комфортнейшее жилье для тех, кто родил трое, пятеро или семеро детей».</w:t>
      </w:r>
      <w:r w:rsidR="0024193D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0CACA59" w14:textId="77777777" w:rsidR="00D071A5" w:rsidRPr="006011DB" w:rsidRDefault="00D071A5" w:rsidP="005960F4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EC18F40" w14:textId="77777777" w:rsidR="00D071A5" w:rsidRPr="006011DB" w:rsidRDefault="00D071A5" w:rsidP="005960F4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Жилищный фонд страны насчитывает свыше 1,5 млн. жилых домов общей площадью более 261 млн кв. м. </w:t>
      </w:r>
    </w:p>
    <w:p w14:paraId="22A158B4" w14:textId="77777777" w:rsidR="00D071A5" w:rsidRPr="006011DB" w:rsidRDefault="00D071A5" w:rsidP="005960F4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частной собственности граждан и юридических лиц находится порядка 95% всего жилья (в 2015 году частный жилищный фонд составлял 93%).</w:t>
      </w:r>
    </w:p>
    <w:p w14:paraId="22D4ABB0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С начала 2021 года запланировано ежегодно увеличивать строительство жилья с господдержкой на 100 тыс. кв.м. Планируется выйти на 4,5 млн кв.м жилья, в том числе практически на 1,5 млн кв.м жилья с господдержкой в 2025 году.</w:t>
      </w:r>
    </w:p>
    <w:p w14:paraId="53CB3E8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Белорусским гражданам предоставляется возможность оплачивать коммунальные услуги по тарифам ниже реальной себестоимости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. Благодаря этому о</w:t>
      </w:r>
      <w:r w:rsidRPr="006011DB">
        <w:rPr>
          <w:rFonts w:ascii="Times New Roman" w:hAnsi="Times New Roman" w:cs="Times New Roman"/>
          <w:sz w:val="30"/>
          <w:szCs w:val="30"/>
        </w:rPr>
        <w:t xml:space="preserve">плата жилищно-коммунальных услуг занимает относительно </w:t>
      </w:r>
      <w:r w:rsidRPr="006011DB">
        <w:rPr>
          <w:rFonts w:ascii="Times New Roman" w:hAnsi="Times New Roman" w:cs="Times New Roman"/>
          <w:b/>
          <w:sz w:val="30"/>
          <w:szCs w:val="30"/>
        </w:rPr>
        <w:t>невысокий удельный вес в доходах белорусских семей</w:t>
      </w:r>
      <w:r w:rsidRPr="006011DB">
        <w:rPr>
          <w:rFonts w:ascii="Times New Roman" w:hAnsi="Times New Roman" w:cs="Times New Roman"/>
          <w:sz w:val="30"/>
          <w:szCs w:val="30"/>
        </w:rPr>
        <w:t xml:space="preserve">. В 2019 годах на эти цели из семейного бюджета тратилось в среднем 4,3% (при двух работающих и получающих среднереспубликанскую заработную плату). </w:t>
      </w:r>
    </w:p>
    <w:p w14:paraId="372B893B" w14:textId="7F7B16F9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C3C6664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Жители соседней Прибалтики отчисляют на коммунальные расходы почти 20% ежемесячного заработка, среднестатистический россиянин тратит на коммунальные платежи 10,9% бюджета семьи, украинец – 17% доходов.</w:t>
      </w:r>
    </w:p>
    <w:p w14:paraId="5430C885" w14:textId="77777777" w:rsidR="007343B3" w:rsidRPr="006011DB" w:rsidRDefault="007343B3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Оплата проезда в городском пассажирском транспорте – отдельная статья расхода. Однако и здесь Беларусь проявляет </w:t>
      </w:r>
      <w:r w:rsidR="00B771FE"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большую</w:t>
      </w:r>
      <w:r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заботу о своих гражданах, покрывая значительную ее часть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Так</w:t>
      </w:r>
      <w:r w:rsidR="00214E2C"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если сравнить затраты на одну поездку </w:t>
      </w:r>
      <w:r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(на любом наземном виде транспорта)</w:t>
      </w:r>
      <w:r w:rsidR="00214E2C"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 Минске она обойдется в 0,65 руб., в Москве чуть больше – 1,34 руб., Вильнюсе – 3,07 руб., Риге – 3,54 руб.</w:t>
      </w:r>
    </w:p>
    <w:p w14:paraId="6E896703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по данным Программы развития Организации Объединенных Наций (ПРООН), </w:t>
      </w:r>
      <w:r w:rsidRPr="006011DB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Беларусь входит в первую двадцатку стран по обеспеченности доступа населения к чистой воде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 республике обеспечена стопроцентная доступность населения к питьевой воде.</w:t>
      </w:r>
    </w:p>
    <w:p w14:paraId="2841CFFC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 к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центральному водопроводу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92,8% населения республики, в т</w:t>
      </w:r>
      <w:r w:rsidR="007343B3"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.ч. 83,4% жителей агрогородков.</w:t>
      </w:r>
    </w:p>
    <w:p w14:paraId="7FD4AD9E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Отдельное внимание в республике уделяется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малоимущим семьям и гражданам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поддержания их финансового положения функционирует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r w:rsidRPr="006011DB">
        <w:rPr>
          <w:rFonts w:ascii="Times New Roman" w:eastAsia="Calibri" w:hAnsi="Times New Roman" w:cs="Times New Roman"/>
          <w:b/>
          <w:sz w:val="30"/>
          <w:szCs w:val="30"/>
        </w:rPr>
        <w:t xml:space="preserve">осударственная адресная социальная помощь </w:t>
      </w:r>
      <w:r w:rsidRPr="006011DB">
        <w:rPr>
          <w:rFonts w:ascii="Times New Roman" w:eastAsia="Calibri" w:hAnsi="Times New Roman" w:cs="Times New Roman"/>
          <w:sz w:val="30"/>
          <w:szCs w:val="30"/>
        </w:rPr>
        <w:t>(ГАСП). Она включает:</w:t>
      </w:r>
    </w:p>
    <w:p w14:paraId="1D1573A5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ежемесячное социальное пособие для семей и граждан, среднедушевой доход которых по объективным причинам ниже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БПМ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5B02547C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единовременное социальное пособие для семей и граждан,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находящихся в трудной жизненной ситуации, с доходами ниже 150% БПМ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(назначается, как правило, 1 раз в год)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; </w:t>
      </w:r>
    </w:p>
    <w:p w14:paraId="03700732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социальное пособие для возмещения затрат на приобретение подгузников для детей-инвалидов в возрасте до 18 лет, имеющих IV степень утраты здоровья, инвалидов I группы </w:t>
      </w:r>
      <w:r w:rsidRPr="006011DB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(назначается 4 раза в год на общую сумму 6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БПМ)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7BD0BD16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обеспечение продуктами питания детей первых двух лет жизни предоставляется малообеспеченным семьям, а при рождении двоих и более детей одновременно – без учета уровня доходов семьи. </w:t>
      </w:r>
    </w:p>
    <w:p w14:paraId="300038FC" w14:textId="13799395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6011DB">
        <w:rPr>
          <w:rFonts w:ascii="Times New Roman" w:eastAsia="Times New Roman" w:hAnsi="Times New Roman" w:cs="Times New Roman"/>
          <w:sz w:val="30"/>
          <w:szCs w:val="30"/>
        </w:rPr>
        <w:t xml:space="preserve">С 1 сентября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предусмотрены дополнительные меры, направленные на повышение уровня материальной поддержки многодетных семей </w:t>
      </w:r>
      <w:r w:rsidRPr="006011DB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основных получателей ежемесячного социального пособия. Д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ля таких семей увеличены период предоставления ежемесячного социального пособия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 6 до 12 месяцев включительно)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критерий нуждаемости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(со 100 до 115% БПМ)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96EC06" w14:textId="77777777" w:rsidR="00D071A5" w:rsidRPr="006011DB" w:rsidRDefault="00D071A5" w:rsidP="00D071A5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Сохранение и укрепление здоровья граждан – стратегическая задача Беларуси</w:t>
      </w:r>
    </w:p>
    <w:p w14:paraId="1FE958CE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гарантирована бесплатная и доступная медицинская помощь в государственных учреждениях здравоохранения с бюджетной системой финансирования. Это находит отражение в международных рейтингах.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доступности медицины Беларусь делит первое место в мире с Брунеем и Канадой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(по данным отчета Всемирной организации здравоохранения (далее – ВОЗ).</w:t>
      </w:r>
    </w:p>
    <w:p w14:paraId="56009A45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Есть еще один мировой показатель, которым оперирует ВОЗ: цели развития тысячелетия. Это сокращение детской смертности и улучшение охраны материнства.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Показатель детской смертности в Беларуси является самым низким в СНГ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, а по темпам его снижения государство опережает Бельгию, Германию, Нидерланды, Францию и Швейцарию – страны с высоким уровнем жизни.</w:t>
      </w:r>
    </w:p>
    <w:p w14:paraId="702B352F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По доступности услуг по охране репродуктивного здоровья Беларусь находится на уровне таких стран, как Франция, Финляндия, Люксембург, и входит в 50 лучших стран мира по ведению беременности, организации родов квалифицированным медицинским персоналом. Система перинатальной помощи и высокие технологии стали визитной карточкой здравоохранения страны: у белорусских специалистов учатся как ближайшие соседи, так и специалисты из дальнего зарубежья.</w:t>
      </w:r>
    </w:p>
    <w:p w14:paraId="44A45066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lastRenderedPageBreak/>
        <w:t xml:space="preserve">Наша страна выглядит достойно и по многим другим показателям. Так, </w:t>
      </w:r>
      <w:r w:rsidR="0036206C"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больничными койками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краткосрочного пребывания на 10 тыс. населения в Республике Беларусь в 2019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80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,4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, что значительно выше, чем в Польше (65,2), Латвии (56,7), Литве (72,6).</w:t>
      </w:r>
    </w:p>
    <w:p w14:paraId="6EAD2A80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практикующими врачами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на 10 тыс. населения в Республике Беларусь в 201</w:t>
      </w:r>
      <w:r w:rsidRPr="006011DB">
        <w:rPr>
          <w:rFonts w:ascii="Times New Roman" w:hAnsi="Times New Roman"/>
          <w:spacing w:val="-6"/>
          <w:sz w:val="30"/>
          <w:szCs w:val="30"/>
        </w:rPr>
        <w:t>9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4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1,3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что выше, чем в странах ЕС (33,4) и странах СНГ (38,1), а 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медицинскими сестрами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–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93,1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на 10 тыс. населения, что значительно выше аналогичного показателя в странах ЕС (86,8) и СНГ (62).</w:t>
      </w:r>
    </w:p>
    <w:p w14:paraId="04445B5A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«Здоровье нации </w:t>
      </w:r>
      <w:r w:rsidRPr="006011DB">
        <w:rPr>
          <w:rFonts w:ascii="Times New Roman" w:hAnsi="Times New Roman" w:cs="Times New Roman"/>
          <w:b/>
          <w:i/>
          <w:iCs/>
          <w:sz w:val="30"/>
          <w:szCs w:val="30"/>
          <w:shd w:val="clear" w:color="auto" w:fill="FFFFFF"/>
        </w:rPr>
        <w:t>–</w:t>
      </w: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 главное богатство любого государства и основа процветания этого государства»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– подчеркнул Президент Республики Беларусь А.Г.Лукашенко, выступая на Европейской министерской конференции по вопросам укрепления здоровья на всех этапах жизни в контексте политики «Здоровье-2020».</w:t>
      </w:r>
    </w:p>
    <w:p w14:paraId="4D714012" w14:textId="77777777" w:rsidR="00C75B2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Огромную роль в развитии здравоохранения Беларуси </w:t>
      </w:r>
      <w:r w:rsidR="004E5E5E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играю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т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четырехуровневая система оказания медицинской помощи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четко организационно выстроенной структурой – от фельдшерско-акушерских пунктов до республиканских научно-практических центров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а также </w:t>
      </w:r>
      <w:r w:rsidR="00EC5954"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улучшение технического оснащения медучреждений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(например, на сегодняшний день в каждом районе г.Минска</w:t>
      </w:r>
      <w:r w:rsidR="00C75B25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есть новые аппараты компьютерной томографии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5954"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B3CB1C" w14:textId="77777777" w:rsidR="00D071A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в стране действует 18 республиканских научно-практических центров (РНПЦ) – это высшая организация здравоохранения, в которой сконцентрированы все виды современных медицинских технологий диагностики, оказания специализированной помощи. В них активно ведутся научные разработки новых методов диагностики, лечения и реабилитации профильных заболеваний. Например, на базе Республиканского научно-практического центра «Кардиология» в 2009 году была выполнена первая в стране пересадка сердца у взрослого. 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 2019 году белорусские врачи поставили рекорд – имплантировали 53 сердца (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из них 16 – иностранцам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), подарив второе рождение и другую жизнь людям, отчаявшимся превозмо</w:t>
      </w:r>
      <w:r w:rsidR="00E1059B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ь болезнь. </w:t>
      </w:r>
      <w:r w:rsidRPr="006011DB">
        <w:rPr>
          <w:rFonts w:ascii="Times New Roman" w:hAnsi="Times New Roman" w:cs="Times New Roman"/>
          <w:sz w:val="30"/>
          <w:szCs w:val="30"/>
        </w:rPr>
        <w:t>Ежегодно выполняется примерно 43–45 пересадок.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Впереди Беларуси по количеству таких вмешательств только </w:t>
      </w:r>
      <w:r w:rsidR="00E42B22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9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центров в мире.</w:t>
      </w:r>
      <w:r w:rsidRPr="006011D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За все годы осуществлено более 350 операций по пересадке сердца.</w:t>
      </w:r>
    </w:p>
    <w:p w14:paraId="6883991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B9599E5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Пересадка органов для белорусов бесплатная. Государству же она обходится в среднем в 25–30 тыс. долл. каждая. Кроме того, такие пациенты должны пожизненно принимать препараты, которые предотвращают отторжение пересаженных органов. Эта терапия стоит государству 8–9 тыс. долл. в год на одного пациента, но нашим гражданам – бесплатно. Иностранцу пересадка сердца в Беларуси обходится примерно в 100 тыс. долл., тогда как в клиниках Западной Европы цена доходит до 300 тыс. евро.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553DAE0C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Сегодня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по количеству органных трансплантаций </w:t>
      </w:r>
      <w:r w:rsidRPr="006011DB">
        <w:rPr>
          <w:rFonts w:ascii="Times New Roman" w:hAnsi="Times New Roman" w:cs="Times New Roman"/>
          <w:sz w:val="30"/>
          <w:szCs w:val="30"/>
        </w:rPr>
        <w:t>на 1 млн. населения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Беларусь является лидером </w:t>
      </w:r>
      <w:r w:rsidRPr="006011DB">
        <w:rPr>
          <w:rFonts w:ascii="Times New Roman" w:hAnsi="Times New Roman" w:cs="Times New Roman"/>
          <w:sz w:val="30"/>
          <w:szCs w:val="30"/>
        </w:rPr>
        <w:t>не только на постсоветском пространстве, но и опережает многие европейские страны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6011DB">
        <w:rPr>
          <w:rFonts w:ascii="Times New Roman" w:hAnsi="Times New Roman" w:cs="Times New Roman"/>
          <w:sz w:val="30"/>
          <w:szCs w:val="30"/>
        </w:rPr>
        <w:t xml:space="preserve">В стране выполняются 50 трансплантаций на 1 млн. населения </w:t>
      </w:r>
      <w:r w:rsidRPr="006011DB">
        <w:rPr>
          <w:rFonts w:ascii="Times New Roman" w:hAnsi="Times New Roman" w:cs="Times New Roman"/>
          <w:i/>
          <w:sz w:val="28"/>
          <w:szCs w:val="28"/>
        </w:rPr>
        <w:t>(в среднем по Европе – 55,9, в России – 10,1, в Украине – 3,2)</w:t>
      </w:r>
      <w:r w:rsidRPr="006011DB">
        <w:rPr>
          <w:rFonts w:ascii="Times New Roman" w:hAnsi="Times New Roman" w:cs="Times New Roman"/>
          <w:sz w:val="30"/>
          <w:szCs w:val="30"/>
        </w:rPr>
        <w:t>. Обычной практикой стали операции по трансплантации печени и сердца.</w:t>
      </w:r>
    </w:p>
    <w:p w14:paraId="3A4AE39E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В 2016 году в Республиканском научно-практическом центре онкологии и медицинской радиологии имени Н.Н.Александрова впервые в мире была выполнена уникальная операция по пересадке донорской трахеи пациенту со злокачественной опухолью легкого. В том же 2016 году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онкологическая служба Беларуси была признана наиболее успешной в Восточной Европе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. Наша страна занимает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8-е место в мире по результатам лечения острого лимфобластного лейкоза у детей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, опережая Израиль, Японию, Финляндию и США. Выживаемость детей с онкологическими заболеваниями в Беларуси в целом (вне зависимости от локализации и стадии) составляет 72%.</w:t>
      </w:r>
    </w:p>
    <w:p w14:paraId="660AF565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Активное развитие высоких технологий в сфере здравоохранения дает возможность проводить сложные вмешательства на уровне передовой медицинской практики и обуславливает </w:t>
      </w:r>
      <w:r w:rsidRPr="006011DB">
        <w:rPr>
          <w:rFonts w:ascii="Times New Roman" w:hAnsi="Times New Roman" w:cs="Times New Roman"/>
          <w:b/>
          <w:sz w:val="30"/>
          <w:szCs w:val="30"/>
        </w:rPr>
        <w:t>рост экспорта медицинских услуг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4D750B18" w14:textId="30261AF5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Справочно.</w:t>
      </w:r>
    </w:p>
    <w:p w14:paraId="1E3764AC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</w:rPr>
        <w:t>Экспорт медуслуг Беларусь наращивает ежегодно:</w:t>
      </w: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за 2016 год он составил более 35,2 млн долл., 2017 – более 37,4 млн долл., в 2018 году – 43 млн долл., 2019 – более 46 млн. долл.</w:t>
      </w:r>
    </w:p>
    <w:p w14:paraId="4E1DE2DD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i/>
          <w:spacing w:val="-6"/>
          <w:sz w:val="28"/>
          <w:szCs w:val="28"/>
        </w:rPr>
        <w:t>Количество иностранных граждан, обратившихся в организации здравоохранения за оказанием медицинской помощи, составляет в среднем более 160 тыс. человек в год.</w:t>
      </w:r>
    </w:p>
    <w:p w14:paraId="6B9523F4" w14:textId="77777777" w:rsidR="00D071A5" w:rsidRPr="006011DB" w:rsidRDefault="00D071A5" w:rsidP="00AB219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На сегодняшний день организациями системы здравоохранения Беларуси оказаны услуги пациентам из 139 стран мира, в том числе России, Украины, Казахстана, Литвы, Азербайджана, Молдовы, Грузии, Сирии, Германии, Израиля, Италии, Кипра, США, Канады, Йемена и многих других.</w:t>
      </w:r>
    </w:p>
    <w:p w14:paraId="6792267B" w14:textId="6688E8E5" w:rsidR="00D071A5" w:rsidRPr="006011DB" w:rsidRDefault="00D071A5" w:rsidP="00854808">
      <w:pPr>
        <w:spacing w:line="256" w:lineRule="auto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 – забота государства</w:t>
      </w:r>
    </w:p>
    <w:p w14:paraId="6CDB34A4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6011DB">
        <w:rPr>
          <w:rFonts w:ascii="Times New Roman" w:hAnsi="Times New Roman" w:cs="Times New Roman"/>
          <w:b/>
          <w:sz w:val="30"/>
          <w:szCs w:val="30"/>
        </w:rPr>
        <w:t>Гарантируются доступность и бесплатность</w:t>
      </w:r>
      <w:r w:rsidRPr="006011DB">
        <w:rPr>
          <w:rFonts w:ascii="Times New Roman" w:hAnsi="Times New Roman"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307F705D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словам Главы государства, в Беларуси в развитии системы образования многого добились благодаря постепенному и вдумчивому ее совершенствованию. «Для нас было важно не свести образование к сфере услуг, не нацелить только на извлечение прибыли. Я считаю одним из наших значимых достижений то, что мы сохранили возможность для всех абитуриентов получать высшее образование по конкурсу бесплатно», –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отметил Президент Республики Беларусь А.Г.Лукашенко на встрече с педагогическим активом страны в июне 2020 г.</w:t>
      </w:r>
    </w:p>
    <w:p w14:paraId="24067222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По уровню грамотности взрослого населения и молодежи, по возможностям, предоставляемым государством для получения образования, по количеству студентов на 10 тыс. населения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Беларусь находится на уровне развитых стран Европы и Америки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Так, уровень грамотности взрослого населения составляет 99,7%, охват базовым, общим средним и профессиональным образованием занятого населения – 98%.</w:t>
      </w:r>
    </w:p>
    <w:p w14:paraId="26554DBB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увеличился экспорт образовательных услуг: сегодня мы обучаем на 20 тыс. больше иностранных граждан, чем в первые годы независимости. И то, что к нам поехали учиться иностранцы – конкретный и весомый аргумент в пользу качественного образования в нашей стране.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2020/2021 учебном году число иностранных граждан, обучающихся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в белорусских учреждениях образования, составило 26,0 </w:t>
      </w:r>
      <w:r w:rsidR="00672BB6" w:rsidRPr="006011DB">
        <w:rPr>
          <w:rFonts w:ascii="Times New Roman" w:hAnsi="Times New Roman" w:cs="Times New Roman"/>
          <w:sz w:val="30"/>
          <w:szCs w:val="30"/>
        </w:rPr>
        <w:t>тыс. человек из 107 стран мира.</w:t>
      </w:r>
    </w:p>
    <w:p w14:paraId="3193CE6F" w14:textId="77777777" w:rsidR="00672BB6" w:rsidRPr="006011DB" w:rsidRDefault="00672BB6" w:rsidP="00672BB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E634774" w14:textId="77777777" w:rsidR="00672BB6" w:rsidRPr="006011DB" w:rsidRDefault="00672BB6" w:rsidP="00854808">
      <w:pPr>
        <w:spacing w:after="120" w:line="276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данным исследования </w:t>
      </w:r>
      <w:r w:rsidRPr="006011DB">
        <w:rPr>
          <w:rFonts w:ascii="Times New Roman" w:hAnsi="Times New Roman" w:cs="Times New Roman"/>
          <w:i/>
          <w:sz w:val="28"/>
          <w:szCs w:val="28"/>
          <w:lang w:val="en-US"/>
        </w:rPr>
        <w:t>PISA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-2018, в котором наша страна впервые приняла участие, белорусские учащиеся показали более высокие результаты по сравнению с учащимися из стран с аналогичным уровнем дохода и выше средних показателей со странами Европы и Центральной Азии. </w:t>
      </w:r>
    </w:p>
    <w:p w14:paraId="11B8D96D" w14:textId="77777777" w:rsidR="00D071A5" w:rsidRPr="006011DB" w:rsidRDefault="00D071A5" w:rsidP="0085480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 Беларусь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в рейтинге государств по индексу человеческого развития по показателям в сфере образования относится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к государствам с очень высоким уровнем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человеческого развития.</w:t>
      </w:r>
    </w:p>
    <w:p w14:paraId="7B79EB7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F4BD96E" w14:textId="77777777" w:rsidR="00D071A5" w:rsidRPr="006011DB" w:rsidRDefault="00D071A5" w:rsidP="00854808">
      <w:pPr>
        <w:widowControl w:val="0"/>
        <w:spacing w:after="0" w:line="256" w:lineRule="exact"/>
        <w:ind w:left="708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Отчету ПРООН о человеческом развитии по показателям в сфере образования Беларусь входит в группу 30 наиболее развитых стран. По показателю «ожидаемая продолжительность обучения», который в нашей стране составляет 15,4 года, Беларусь занимает 27-е место среди 189 стран, по показателю «средняя продолжительность обучения» (12,3 года) </w:t>
      </w:r>
      <w:r w:rsidRPr="006011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 10-е место, а по показателю «доступ к базовым знаниям» в индексе социального прогресса – 13 место среди 146 стран мира.</w:t>
      </w:r>
    </w:p>
    <w:p w14:paraId="6BE0FB4B" w14:textId="77777777" w:rsidR="00D071A5" w:rsidRPr="006011DB" w:rsidRDefault="00D071A5" w:rsidP="00D071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 xml:space="preserve">В Беларуси образование – одно из самых доступных в мире. </w:t>
      </w:r>
      <w:r w:rsidRPr="006011DB">
        <w:rPr>
          <w:rFonts w:ascii="Times New Roman" w:hAnsi="Times New Roman" w:cs="Times New Roman"/>
          <w:sz w:val="30"/>
          <w:szCs w:val="30"/>
        </w:rPr>
        <w:t>Общий охват детей от 1 года до 6 лет учреждениями образования составляет 83,6%. Норматив охвата детей 5-летнего возраста подготовкой к обучению в учреждениях общего среднего образования выполняется на 100% во всех областях и г.Минске.</w:t>
      </w:r>
    </w:p>
    <w:p w14:paraId="31155E2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Только в этом году для самых маленьких граждан страны открылись 15 детских садов на 2775 мест.</w:t>
      </w:r>
    </w:p>
    <w:p w14:paraId="1BC94227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2FB990E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Наша страна вкладывает значительные инвестиции в систему дошкольного образования – 1,1% от ВВП. Данный показатель является одним из самых высоких в Европе и Америке: Дания – 1,3%, Франция – 1%, Швеция – 1%, Норвегия – 0,8%, США – 0,35%, Канада – 0,2 %.</w:t>
      </w:r>
    </w:p>
    <w:p w14:paraId="592B5B1E" w14:textId="3E0CF318" w:rsidR="00D071A5" w:rsidRPr="006011DB" w:rsidRDefault="00D071A5" w:rsidP="00C35A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В Беларуси оказывается поддержки семьям с детьми в период подготовки к новому учебному году</w:t>
      </w:r>
      <w:r w:rsidR="00C35A3D" w:rsidRPr="006011DB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рамках выполнения подпрограммы «Семья и детство» Государственной программы «Здоровье народа и демографическая безопасность Республики Беларусь» на 2016–2020 годы производится выплата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единовременной материальной помощи семьям, воспитывающим троих и более детей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, обучающихся в учреждениях общего среднего образования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каждого школьника в размере до 30%</w:t>
      </w:r>
      <w:r w:rsidR="00C35A3D"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БПМ </w:t>
      </w:r>
      <w:r w:rsidRPr="006011DB">
        <w:rPr>
          <w:rFonts w:ascii="Times New Roman" w:hAnsi="Times New Roman" w:cs="Times New Roman"/>
          <w:bCs/>
          <w:i/>
          <w:spacing w:val="-6"/>
          <w:sz w:val="28"/>
          <w:szCs w:val="28"/>
        </w:rPr>
        <w:t>(1 БПМ на 1 августа текущего года – Br256,1)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Конкретная сумма определяется местными органами власти. Такая единовременная материальная помощь за июль</w:t>
      </w:r>
      <w:r w:rsidR="00C35A3D" w:rsidRPr="006011DB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август оказана более чем 94 тыс. семей, в которых воспитываются 187 тыс. детей.</w:t>
      </w:r>
      <w:r w:rsidR="004A630A"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6F536E1B" w14:textId="0784303F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Также помощь </w:t>
      </w:r>
      <w:r w:rsidR="00024F69" w:rsidRPr="006011DB">
        <w:rPr>
          <w:rFonts w:ascii="Times New Roman" w:hAnsi="Times New Roman" w:cs="Times New Roman"/>
          <w:sz w:val="30"/>
          <w:szCs w:val="30"/>
        </w:rPr>
        <w:t>к школе оказана 43,4 тыс. сем</w:t>
      </w:r>
      <w:r w:rsidRPr="006011DB">
        <w:rPr>
          <w:rFonts w:ascii="Times New Roman" w:hAnsi="Times New Roman" w:cs="Times New Roman"/>
          <w:sz w:val="30"/>
          <w:szCs w:val="30"/>
        </w:rPr>
        <w:t xml:space="preserve">ей (82,2 тыс. детей) в соответствии с коллективными договорами предприятий, организаций. </w:t>
      </w:r>
    </w:p>
    <w:p w14:paraId="6EB3E456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64BB20E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11DB">
        <w:rPr>
          <w:rFonts w:ascii="Times New Roman" w:hAnsi="Times New Roman" w:cs="Times New Roman"/>
          <w:i/>
          <w:iCs/>
          <w:sz w:val="28"/>
          <w:szCs w:val="28"/>
        </w:rPr>
        <w:t>Всего государственная помощь на подготовку детей к новому учебному году оказана на сумму более Br12 млн. А общая сумма различных видов помощи на эти цели составила Br18 млн.</w:t>
      </w:r>
    </w:p>
    <w:p w14:paraId="20FA6B79" w14:textId="22AA3F8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учреждениях общего среднего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обучаются более 1,05 млн. учащихся </w:t>
      </w:r>
      <w:r w:rsidRPr="006011DB">
        <w:rPr>
          <w:rFonts w:ascii="Times New Roman" w:hAnsi="Times New Roman" w:cs="Times New Roman"/>
          <w:i/>
          <w:sz w:val="28"/>
          <w:szCs w:val="28"/>
        </w:rPr>
        <w:t>(практически все обучаются за бюджетный счет, а платные учебные учреждения образования имеют нулевую ставку по налогу на прибыль и ряд льгот)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  <w:r w:rsidRPr="006011DB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14:paraId="41F9D72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Сохранены меры социальной защиты обучающихся в части предоставления дифференцированных льгот для отдельных категорий граждан при оплате за питание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30 или 50%, полное освобождение их от оплаты)</w:t>
      </w:r>
      <w:r w:rsidRPr="006011DB">
        <w:rPr>
          <w:rFonts w:ascii="Times New Roman" w:hAnsi="Times New Roman" w:cs="Times New Roman"/>
          <w:sz w:val="30"/>
          <w:szCs w:val="30"/>
        </w:rPr>
        <w:t xml:space="preserve"> и пользование учебниками и (или) учебными пособиями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50% или освобождение от оплаты)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28BEBC1F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Только в этом году в республике введено 4 новых школы </w:t>
      </w:r>
      <w:r w:rsidRPr="006011DB">
        <w:rPr>
          <w:rFonts w:ascii="Times New Roman" w:hAnsi="Times New Roman" w:cs="Times New Roman"/>
          <w:i/>
          <w:sz w:val="28"/>
          <w:szCs w:val="28"/>
        </w:rPr>
        <w:t>(3930 учебных мест)</w:t>
      </w:r>
      <w:r w:rsidRPr="006011DB">
        <w:rPr>
          <w:rFonts w:ascii="Times New Roman" w:hAnsi="Times New Roman" w:cs="Times New Roman"/>
          <w:sz w:val="30"/>
          <w:szCs w:val="30"/>
        </w:rPr>
        <w:t>, отремонтировано более 2 тыс. школ, в которых обновилось спортивное и учебное оборудование, приведена в порядок спортивная база.</w:t>
      </w:r>
    </w:p>
    <w:p w14:paraId="3843AE67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Беларуси организована доставка детей к месту учебы везде, где это необходимо. В этом учебном году этой услугой охвачены более 66 тыс. учащихся, задействованы 1,6 тыс. школьных автобусов, в том числе около 300 специально оборудованных для подвоза обучающихся с особенностями психофизического развития.</w:t>
      </w:r>
    </w:p>
    <w:p w14:paraId="178687A7" w14:textId="5FE6572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2020 году в учреждениях профессионально-технического образования подготовлено 25,7 тыс. рабочих, в учреждениях среднего специального образования – 33,2 тыс. специалистов. 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Обеспеченность обучающихся </w:t>
      </w:r>
      <w:r w:rsidR="00C9090D" w:rsidRPr="006011DB">
        <w:rPr>
          <w:rFonts w:ascii="Times New Roman" w:hAnsi="Times New Roman" w:cs="Times New Roman"/>
          <w:sz w:val="30"/>
          <w:szCs w:val="30"/>
        </w:rPr>
        <w:t xml:space="preserve">местами в </w:t>
      </w:r>
      <w:r w:rsidR="00FE72CD" w:rsidRPr="006011DB">
        <w:rPr>
          <w:rFonts w:ascii="Times New Roman" w:hAnsi="Times New Roman" w:cs="Times New Roman"/>
          <w:sz w:val="30"/>
          <w:szCs w:val="30"/>
        </w:rPr>
        <w:t>общежития</w:t>
      </w:r>
      <w:r w:rsidR="00C9090D" w:rsidRPr="006011DB">
        <w:rPr>
          <w:rFonts w:ascii="Times New Roman" w:hAnsi="Times New Roman" w:cs="Times New Roman"/>
          <w:sz w:val="30"/>
          <w:szCs w:val="30"/>
        </w:rPr>
        <w:t>х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 составляе</w:t>
      </w:r>
      <w:r w:rsidR="00C9090D" w:rsidRPr="006011DB">
        <w:rPr>
          <w:rFonts w:ascii="Times New Roman" w:hAnsi="Times New Roman" w:cs="Times New Roman"/>
          <w:sz w:val="30"/>
          <w:szCs w:val="30"/>
        </w:rPr>
        <w:t>т 98,42%.</w:t>
      </w:r>
    </w:p>
    <w:p w14:paraId="49C0BD88" w14:textId="1C910AFD" w:rsidR="00C9090D" w:rsidRPr="006011DB" w:rsidRDefault="00D071A5" w:rsidP="00C9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республике функционируют 42 государственных учреждения высшего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и 9 – частной формы собственности. Подготовка специалистов с высшим образованием </w:t>
      </w:r>
      <w:r w:rsidRPr="006011DB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011DB">
        <w:rPr>
          <w:rFonts w:ascii="Times New Roman" w:hAnsi="Times New Roman" w:cs="Times New Roman"/>
          <w:sz w:val="30"/>
          <w:szCs w:val="30"/>
        </w:rPr>
        <w:t xml:space="preserve"> ступени осуществляется по </w:t>
      </w: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15 профилям образования, включающим 380 специальностей. Прием для получения высшего образования II ступени осуществляется по 151 специальности. </w:t>
      </w:r>
      <w:r w:rsidR="00C9090D" w:rsidRPr="006011DB">
        <w:rPr>
          <w:rFonts w:ascii="Times New Roman" w:hAnsi="Times New Roman" w:cs="Times New Roman"/>
          <w:sz w:val="30"/>
          <w:szCs w:val="30"/>
        </w:rPr>
        <w:t>Обеспеченность студентов местами в общежитиях составляет 89,45%.</w:t>
      </w:r>
    </w:p>
    <w:p w14:paraId="156E8574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Подготовку научных работников высшей квалификации в 2020 году осуществляют 26 учреждений высшего образования и организаций в аспирантуре и 13 в докторантуре. </w:t>
      </w:r>
    </w:p>
    <w:p w14:paraId="4C025E9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Обеспечивается возможность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>получения образования всеми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детьми</w:t>
      </w:r>
      <w:r w:rsidRPr="006011DB">
        <w:rPr>
          <w:rFonts w:ascii="Times New Roman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 </w:t>
      </w:r>
      <w:r w:rsidRPr="006011DB">
        <w:rPr>
          <w:rFonts w:ascii="Times New Roman" w:hAnsi="Times New Roman" w:cs="Times New Roman"/>
          <w:sz w:val="30"/>
          <w:szCs w:val="30"/>
        </w:rPr>
        <w:t>(далее – ОПФР) независимо от вида и степени выраженности имеющихся нарушений. Охват детей с ОПФР специальным образованием и коррекционно-педагогической помощью составляет 99,9 %.</w:t>
      </w:r>
    </w:p>
    <w:p w14:paraId="11F3FAE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Республика Беларусь также выделяется среди других стран мира развитой системой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дополнительного образования</w:t>
      </w:r>
      <w:r w:rsidRPr="006011DB">
        <w:rPr>
          <w:rFonts w:ascii="Times New Roman" w:hAnsi="Times New Roman" w:cs="Times New Roman"/>
          <w:sz w:val="30"/>
          <w:szCs w:val="30"/>
        </w:rPr>
        <w:t>, которая пронизывает все уровни основного образования от дошкольного до университетского и выходит за их пределы.</w:t>
      </w:r>
    </w:p>
    <w:p w14:paraId="57ED82A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Сохраняется положительная динамика в вопросах охраны детства. Ежегодно сокращается число выявляемых детей сиротской категории: за последние четыре года оно снизилось на 23% 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(в 2015 году выявлено 2750 детей, в 2019 году – 2098). </w:t>
      </w:r>
    </w:p>
    <w:p w14:paraId="4DB926F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Увеличивается количество восстановлений родителей в родительских правах. За период действия Декрета Главы государства от 24.11.2006 № 18 «О дополнительных мерах по государственной защите детей в неблагополучных семьях» 2457 родителям по решению суда возвращены 3885 детей, что соизмеримо с контингентом 52 детских домов максим</w:t>
      </w:r>
      <w:r w:rsidR="008A73FA" w:rsidRPr="006011DB">
        <w:rPr>
          <w:rFonts w:ascii="Times New Roman" w:hAnsi="Times New Roman" w:cs="Times New Roman"/>
          <w:sz w:val="30"/>
          <w:szCs w:val="30"/>
        </w:rPr>
        <w:t xml:space="preserve">альной наполняемости </w:t>
      </w:r>
      <w:r w:rsidR="008A73FA" w:rsidRPr="006011DB">
        <w:rPr>
          <w:rFonts w:ascii="Times New Roman" w:hAnsi="Times New Roman" w:cs="Times New Roman"/>
          <w:i/>
          <w:sz w:val="28"/>
          <w:szCs w:val="28"/>
        </w:rPr>
        <w:t>(75 чел.)</w:t>
      </w:r>
      <w:r w:rsidR="008A73FA" w:rsidRPr="006011DB">
        <w:rPr>
          <w:rFonts w:ascii="Times New Roman" w:hAnsi="Times New Roman" w:cs="Times New Roman"/>
          <w:sz w:val="30"/>
          <w:szCs w:val="30"/>
        </w:rPr>
        <w:t>.</w:t>
      </w:r>
    </w:p>
    <w:p w14:paraId="5319A335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Сокращается сеть интернатных учреждений для детей сиротской категории в системе образования. С 2015 года по 2020 их количество уменьшилось вдвое: с 34 учреждений до 17, а число воспитанников в них снизилось на 55% </w:t>
      </w:r>
      <w:r w:rsidRPr="006011DB">
        <w:rPr>
          <w:rFonts w:ascii="Times New Roman" w:hAnsi="Times New Roman" w:cs="Times New Roman"/>
          <w:i/>
          <w:sz w:val="28"/>
          <w:szCs w:val="28"/>
        </w:rPr>
        <w:t>(в 2015 году – 2460 детей, в 2020 – 1098)</w:t>
      </w:r>
      <w:r w:rsidRPr="006011DB">
        <w:rPr>
          <w:rFonts w:ascii="Times New Roman" w:hAnsi="Times New Roman" w:cs="Times New Roman"/>
          <w:sz w:val="30"/>
          <w:szCs w:val="30"/>
        </w:rPr>
        <w:t>. Оптимизация сети детских интернатных учреждений сопровождается созданием семейных детских домов. В 2020 году их открыто 6.</w:t>
      </w:r>
    </w:p>
    <w:p w14:paraId="1997064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Стабильное финансирование обеспечивает функционирование и развитие системы образования, выполнение социальных стандартов. В 2020 году на образование направлено из бюджета с учетом внебюджетных источников 5,62% от ВВП </w:t>
      </w:r>
      <w:r w:rsidRPr="006011DB">
        <w:rPr>
          <w:rFonts w:ascii="Times New Roman" w:hAnsi="Times New Roman" w:cs="Times New Roman"/>
          <w:i/>
          <w:sz w:val="28"/>
          <w:szCs w:val="28"/>
        </w:rPr>
        <w:t>(в 2019 году – 5,4%)</w:t>
      </w:r>
      <w:r w:rsidRPr="006011D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9E39FD0" w14:textId="77777777" w:rsidR="00274566" w:rsidRPr="006011DB" w:rsidRDefault="00274566" w:rsidP="0027456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*****</w:t>
      </w:r>
    </w:p>
    <w:p w14:paraId="4C76C062" w14:textId="77777777" w:rsidR="00274566" w:rsidRPr="006011DB" w:rsidRDefault="00274566" w:rsidP="0027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Сегодня Беларусь – динамично развивающаяся европейская страна. В своем становлении мы сделали ставку на богатейший потенциал, накопленный в советские времена. Поэтому не случайно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индексу социального прогресса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Pr="006011DB">
        <w:rPr>
          <w:rFonts w:ascii="Times New Roman" w:hAnsi="Times New Roman" w:cs="Times New Roman"/>
          <w:sz w:val="30"/>
          <w:szCs w:val="30"/>
        </w:rPr>
        <w:t>Social Progress Index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который </w:t>
      </w:r>
      <w:r w:rsidRPr="006011DB">
        <w:rPr>
          <w:rFonts w:ascii="Times New Roman" w:hAnsi="Times New Roman" w:cs="Times New Roman"/>
          <w:sz w:val="30"/>
          <w:szCs w:val="30"/>
        </w:rPr>
        <w:lastRenderedPageBreak/>
        <w:t>измеряет достижения стран мира с точки зрения их социального развития,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занимает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47 позицию из 163 государств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(для сравнения: Украина – 63, Казахстан – 67, Россия – 69, Китай – 100). О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</w:rPr>
        <w:t>снова нашей внутренней политики – строительство социально ориентированного государства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которое максимально отвечает потребностям белорусского народа. Оно имеет эффективно функционирующие институты, оптимальную экономическую систему и высокий уровень социальной защиты населения. Все то, что </w:t>
      </w:r>
      <w:r w:rsidRPr="006011DB">
        <w:rPr>
          <w:rFonts w:ascii="Times New Roman" w:hAnsi="Times New Roman" w:cs="Times New Roman"/>
          <w:sz w:val="30"/>
          <w:szCs w:val="30"/>
        </w:rPr>
        <w:t>является важным фактором обеспечения согласия в обществе и стабильности в любом государстве.</w:t>
      </w:r>
    </w:p>
    <w:p w14:paraId="02BF56EF" w14:textId="77777777" w:rsidR="00274566" w:rsidRPr="006011DB" w:rsidRDefault="00274566" w:rsidP="00274566"/>
    <w:p w14:paraId="4CE9AA5B" w14:textId="0805757E" w:rsidR="00CB377E" w:rsidRDefault="00BD56AF" w:rsidP="0020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Для более полного ознакомления с достижениями Республики Беларусь в социальной сфере предлагаем </w:t>
      </w:r>
      <w:r w:rsidR="00CF2C8F"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обратиться к </w:t>
      </w: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>справочным материалам «Социальная сфера Республики Беларусь в цифрах» (2020 год), размещенным на сайте Министерства финансов Республики Беларусь (</w:t>
      </w:r>
      <w:hyperlink r:id="rId8" w:history="1">
        <w:r w:rsidRPr="002D1BC7">
          <w:rPr>
            <w:rStyle w:val="a3"/>
            <w:rFonts w:ascii="Times New Roman" w:hAnsi="Times New Roman" w:cs="Times New Roman"/>
            <w:i/>
            <w:color w:val="auto"/>
            <w:spacing w:val="-6"/>
            <w:sz w:val="30"/>
            <w:szCs w:val="30"/>
          </w:rPr>
          <w:t>http://www.minfin.gov.by/upload/add/centers_supporting/brochure.pdf</w:t>
        </w:r>
      </w:hyperlink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>).</w:t>
      </w:r>
    </w:p>
    <w:sectPr w:rsidR="00CB377E" w:rsidSect="008920C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9F780" w14:textId="77777777" w:rsidR="00B30DD8" w:rsidRDefault="00B30DD8" w:rsidP="008920C9">
      <w:pPr>
        <w:spacing w:after="0" w:line="240" w:lineRule="auto"/>
      </w:pPr>
      <w:r>
        <w:separator/>
      </w:r>
    </w:p>
  </w:endnote>
  <w:endnote w:type="continuationSeparator" w:id="0">
    <w:p w14:paraId="7301E100" w14:textId="77777777" w:rsidR="00B30DD8" w:rsidRDefault="00B30DD8" w:rsidP="0089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3D6FE" w14:textId="77777777" w:rsidR="00B30DD8" w:rsidRDefault="00B30DD8" w:rsidP="008920C9">
      <w:pPr>
        <w:spacing w:after="0" w:line="240" w:lineRule="auto"/>
      </w:pPr>
      <w:r>
        <w:separator/>
      </w:r>
    </w:p>
  </w:footnote>
  <w:footnote w:type="continuationSeparator" w:id="0">
    <w:p w14:paraId="4FDB152E" w14:textId="77777777" w:rsidR="00B30DD8" w:rsidRDefault="00B30DD8" w:rsidP="0089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623627"/>
      <w:docPartObj>
        <w:docPartGallery w:val="Page Numbers (Top of Page)"/>
        <w:docPartUnique/>
      </w:docPartObj>
    </w:sdtPr>
    <w:sdtEndPr/>
    <w:sdtContent>
      <w:p w14:paraId="79EF980E" w14:textId="7A82784D" w:rsidR="008920C9" w:rsidRDefault="008920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D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0"/>
    <w:rsid w:val="00003420"/>
    <w:rsid w:val="00021928"/>
    <w:rsid w:val="00024EAC"/>
    <w:rsid w:val="00024F69"/>
    <w:rsid w:val="000324B5"/>
    <w:rsid w:val="00044CDF"/>
    <w:rsid w:val="000559B8"/>
    <w:rsid w:val="00090F3A"/>
    <w:rsid w:val="000A06B5"/>
    <w:rsid w:val="000C2890"/>
    <w:rsid w:val="000E204E"/>
    <w:rsid w:val="000E3963"/>
    <w:rsid w:val="000F131E"/>
    <w:rsid w:val="00116032"/>
    <w:rsid w:val="00132241"/>
    <w:rsid w:val="00207050"/>
    <w:rsid w:val="00211091"/>
    <w:rsid w:val="00214E2C"/>
    <w:rsid w:val="002350FF"/>
    <w:rsid w:val="0024193D"/>
    <w:rsid w:val="00266583"/>
    <w:rsid w:val="00274566"/>
    <w:rsid w:val="002C170D"/>
    <w:rsid w:val="002D1BC7"/>
    <w:rsid w:val="002F75C6"/>
    <w:rsid w:val="003307D8"/>
    <w:rsid w:val="0036206C"/>
    <w:rsid w:val="00382C97"/>
    <w:rsid w:val="0039441F"/>
    <w:rsid w:val="003A6CC2"/>
    <w:rsid w:val="003B4DC1"/>
    <w:rsid w:val="003B5948"/>
    <w:rsid w:val="003D1A0B"/>
    <w:rsid w:val="00457E34"/>
    <w:rsid w:val="00483915"/>
    <w:rsid w:val="004A630A"/>
    <w:rsid w:val="004A6EC7"/>
    <w:rsid w:val="004D7FC4"/>
    <w:rsid w:val="004E5E5E"/>
    <w:rsid w:val="004E7024"/>
    <w:rsid w:val="004F3F80"/>
    <w:rsid w:val="004F7694"/>
    <w:rsid w:val="005229CE"/>
    <w:rsid w:val="00531AA8"/>
    <w:rsid w:val="005463C4"/>
    <w:rsid w:val="0055210D"/>
    <w:rsid w:val="00594F3D"/>
    <w:rsid w:val="005960F4"/>
    <w:rsid w:val="005B5D92"/>
    <w:rsid w:val="005C4D2F"/>
    <w:rsid w:val="005E39D9"/>
    <w:rsid w:val="005E3C69"/>
    <w:rsid w:val="005E5F12"/>
    <w:rsid w:val="006011DB"/>
    <w:rsid w:val="00610928"/>
    <w:rsid w:val="0061623B"/>
    <w:rsid w:val="00664D8C"/>
    <w:rsid w:val="00672BB6"/>
    <w:rsid w:val="006A3704"/>
    <w:rsid w:val="006A6AC6"/>
    <w:rsid w:val="006E586F"/>
    <w:rsid w:val="00706CC6"/>
    <w:rsid w:val="0071183D"/>
    <w:rsid w:val="00720865"/>
    <w:rsid w:val="007343B3"/>
    <w:rsid w:val="00734582"/>
    <w:rsid w:val="00754D30"/>
    <w:rsid w:val="007701E2"/>
    <w:rsid w:val="00781BEA"/>
    <w:rsid w:val="007B18BD"/>
    <w:rsid w:val="008053E9"/>
    <w:rsid w:val="00810E97"/>
    <w:rsid w:val="00835F13"/>
    <w:rsid w:val="00854808"/>
    <w:rsid w:val="00856135"/>
    <w:rsid w:val="00883A89"/>
    <w:rsid w:val="008920C9"/>
    <w:rsid w:val="00893435"/>
    <w:rsid w:val="008A73FA"/>
    <w:rsid w:val="008B2D49"/>
    <w:rsid w:val="008B5577"/>
    <w:rsid w:val="008D7BED"/>
    <w:rsid w:val="008E2B44"/>
    <w:rsid w:val="00922D28"/>
    <w:rsid w:val="00923B60"/>
    <w:rsid w:val="009278CE"/>
    <w:rsid w:val="009A17D7"/>
    <w:rsid w:val="009A68D7"/>
    <w:rsid w:val="009B7C4C"/>
    <w:rsid w:val="009D187E"/>
    <w:rsid w:val="009E409A"/>
    <w:rsid w:val="009E6032"/>
    <w:rsid w:val="00A56298"/>
    <w:rsid w:val="00AB2191"/>
    <w:rsid w:val="00AB31ED"/>
    <w:rsid w:val="00AB3ABB"/>
    <w:rsid w:val="00AF45CF"/>
    <w:rsid w:val="00B04677"/>
    <w:rsid w:val="00B06661"/>
    <w:rsid w:val="00B30DD8"/>
    <w:rsid w:val="00B36DF3"/>
    <w:rsid w:val="00B46790"/>
    <w:rsid w:val="00B611A0"/>
    <w:rsid w:val="00B71932"/>
    <w:rsid w:val="00B771FE"/>
    <w:rsid w:val="00BB1CF2"/>
    <w:rsid w:val="00BC0B1D"/>
    <w:rsid w:val="00BD56AF"/>
    <w:rsid w:val="00C35A3D"/>
    <w:rsid w:val="00C37ECD"/>
    <w:rsid w:val="00C449CF"/>
    <w:rsid w:val="00C75B25"/>
    <w:rsid w:val="00C86EE7"/>
    <w:rsid w:val="00C9090D"/>
    <w:rsid w:val="00CB377E"/>
    <w:rsid w:val="00CC0D16"/>
    <w:rsid w:val="00CD3D61"/>
    <w:rsid w:val="00CF2C8F"/>
    <w:rsid w:val="00D071A5"/>
    <w:rsid w:val="00D21765"/>
    <w:rsid w:val="00D30E4F"/>
    <w:rsid w:val="00D43BFD"/>
    <w:rsid w:val="00D66930"/>
    <w:rsid w:val="00D74A04"/>
    <w:rsid w:val="00D94614"/>
    <w:rsid w:val="00D97338"/>
    <w:rsid w:val="00DA0DAC"/>
    <w:rsid w:val="00DE5981"/>
    <w:rsid w:val="00E1059B"/>
    <w:rsid w:val="00E42B22"/>
    <w:rsid w:val="00E80EC3"/>
    <w:rsid w:val="00E96096"/>
    <w:rsid w:val="00EA109A"/>
    <w:rsid w:val="00EC5954"/>
    <w:rsid w:val="00ED7691"/>
    <w:rsid w:val="00F0294A"/>
    <w:rsid w:val="00F03BA3"/>
    <w:rsid w:val="00F202ED"/>
    <w:rsid w:val="00F56741"/>
    <w:rsid w:val="00F6715C"/>
    <w:rsid w:val="00F67B69"/>
    <w:rsid w:val="00F9586D"/>
    <w:rsid w:val="00FA2FD2"/>
    <w:rsid w:val="00FC6C14"/>
    <w:rsid w:val="00FE3DE3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CC6F"/>
  <w15:chartTrackingRefBased/>
  <w15:docId w15:val="{1F6BF80C-4859-44B1-828C-F99F98C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1A5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Нумерованный Знак"/>
    <w:link w:val="a5"/>
    <w:uiPriority w:val="34"/>
    <w:locked/>
    <w:rsid w:val="00D071A5"/>
  </w:style>
  <w:style w:type="paragraph" w:styleId="a5">
    <w:name w:val="List Paragraph"/>
    <w:aliases w:val="Список Нумерованный"/>
    <w:basedOn w:val="a"/>
    <w:link w:val="a4"/>
    <w:uiPriority w:val="34"/>
    <w:qFormat/>
    <w:rsid w:val="00D071A5"/>
    <w:pPr>
      <w:spacing w:after="0" w:line="280" w:lineRule="exact"/>
      <w:ind w:left="720" w:firstLine="709"/>
      <w:contextualSpacing/>
      <w:jc w:val="both"/>
    </w:pPr>
  </w:style>
  <w:style w:type="character" w:customStyle="1" w:styleId="FontStyle32">
    <w:name w:val="Font Style32"/>
    <w:rsid w:val="00D071A5"/>
    <w:rPr>
      <w:rFonts w:ascii="Times New Roman" w:hAnsi="Times New Roman" w:cs="Times New Roman" w:hint="default"/>
      <w:color w:val="000000"/>
      <w:sz w:val="30"/>
    </w:rPr>
  </w:style>
  <w:style w:type="character" w:styleId="a6">
    <w:name w:val="Emphasis"/>
    <w:basedOn w:val="a0"/>
    <w:uiPriority w:val="20"/>
    <w:qFormat/>
    <w:rsid w:val="00D071A5"/>
    <w:rPr>
      <w:i/>
      <w:iCs/>
    </w:rPr>
  </w:style>
  <w:style w:type="paragraph" w:styleId="a7">
    <w:name w:val="header"/>
    <w:basedOn w:val="a"/>
    <w:link w:val="a8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0C9"/>
  </w:style>
  <w:style w:type="paragraph" w:styleId="a9">
    <w:name w:val="footer"/>
    <w:basedOn w:val="a"/>
    <w:link w:val="aa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0C9"/>
  </w:style>
  <w:style w:type="character" w:styleId="ab">
    <w:name w:val="annotation reference"/>
    <w:basedOn w:val="a0"/>
    <w:uiPriority w:val="99"/>
    <w:semiHidden/>
    <w:unhideWhenUsed/>
    <w:rsid w:val="004A6E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6E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6E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6E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6EC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A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6EC7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6A6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A6AC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A6AC6"/>
    <w:rPr>
      <w:rFonts w:ascii="Times New Roman" w:hAnsi="Times New Roman" w:cs="Times New Roman" w:hint="default"/>
    </w:rPr>
  </w:style>
  <w:style w:type="character" w:customStyle="1" w:styleId="number">
    <w:name w:val="number"/>
    <w:rsid w:val="006A6A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by/upload/add/centers_supporting/broch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president/view/lukashenko-vstupil-v-dolzhnost-prezidenta-belarusi-407890-20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7655-6A20-4598-91F7-2BBEC821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4482</Words>
  <Characters>25552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12.10.2020 в 14:07:16 10 Липницкий_x000d_Сохранен: 	12.10.2020 в 14:10:31 _x000d_Отпечатан: 	12.10.2020 в 14:11:29 _x000d_Сохранен: 	12.10.2020 в 14:11:31 _x000d_Сохранен: 	12.10.2020 в 14:34:20 _x000d_Сохранен: 	12.10.2020 в 14:35:01 _x000d_Сохранен: 	12.10.2020 в 14:35:40 _x000d_Сохранен: 	12.10.2020 в 14:35:48 _x000d_Сохранен: 	12.10.2020 в 14:37:16 _x000d_Сохранен: 	12.10.2020 в 14:38:15 _x000d_Сохранен: 	12.10.2020 в 14:38:32 _x000d_Отпечатан: 	12.10.2020 в 14:38:37 _x000d_Сохранен: 	12.10.2020 в 14:44:06 _x000d_Сохранен: 	12.10.2020 в 14:44:26 _x000d__x000d_Открыт: 		12.10.2020 в 15:57:39 10 Липницкий_x000d_Сохранен: 	12.10.2020 в 15:57:55 _x000d_Сохранен: 	12.10.2020 в 15:58:01</dc:description>
  <cp:lastModifiedBy>User</cp:lastModifiedBy>
  <cp:revision>2</cp:revision>
  <cp:lastPrinted>2020-10-12T11:38:00Z</cp:lastPrinted>
  <dcterms:created xsi:type="dcterms:W3CDTF">2020-10-13T06:01:00Z</dcterms:created>
  <dcterms:modified xsi:type="dcterms:W3CDTF">2020-10-13T06:01:00Z</dcterms:modified>
</cp:coreProperties>
</file>