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F2" w:rsidRDefault="008378F2" w:rsidP="0082279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развитии физической культуры и спорта в Рогачёвском районе </w:t>
      </w:r>
    </w:p>
    <w:p w:rsidR="008378F2" w:rsidRDefault="008378F2" w:rsidP="0082279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22795" w:rsidRPr="00822795" w:rsidRDefault="00822795" w:rsidP="0082279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Физической культурой и спортом в Рогачевском районе занимаются свыше </w:t>
      </w:r>
      <w:r w:rsidRPr="00822795">
        <w:rPr>
          <w:rFonts w:ascii="Times New Roman" w:eastAsia="Times New Roman" w:hAnsi="Times New Roman"/>
          <w:bCs/>
          <w:sz w:val="28"/>
          <w:szCs w:val="28"/>
          <w:lang w:eastAsia="ru-RU"/>
        </w:rPr>
        <w:t>12970</w:t>
      </w:r>
      <w:r w:rsidRPr="008227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22795">
        <w:rPr>
          <w:rFonts w:ascii="Times New Roman" w:hAnsi="Times New Roman"/>
          <w:sz w:val="28"/>
          <w:szCs w:val="28"/>
        </w:rPr>
        <w:t>человека или 23% от общей численности всего населения района при целевом показателе  на 2018 год – 23% (2017 год – 23,4%). Согласно Государственной программе развития физической культуры и спорта в Республике Беларусь на 2016-2020 годы данный показатель к концу 2020 года должен достигнуть  25%.</w:t>
      </w:r>
    </w:p>
    <w:p w:rsidR="00822795" w:rsidRPr="00822795" w:rsidRDefault="00822795" w:rsidP="0082279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Принимаются определенные меры по привлечению детей, подростков и взрослого населения к занятиям физической культурой и спортом.</w:t>
      </w:r>
    </w:p>
    <w:p w:rsidR="00822795" w:rsidRPr="00822795" w:rsidRDefault="00822795" w:rsidP="00822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2795">
        <w:rPr>
          <w:rFonts w:ascii="Times New Roman" w:eastAsia="Times New Roman" w:hAnsi="Times New Roman"/>
          <w:sz w:val="28"/>
          <w:szCs w:val="28"/>
          <w:lang w:eastAsia="ru-RU"/>
        </w:rPr>
        <w:t>За истекший период текущего года в районе организовано и проведено свыше 40 физкультурно-оздоровительных и спортивно-массовых мероприятий, в которых приняло участие более 4500 человек (2017 год – 4600).</w:t>
      </w:r>
    </w:p>
    <w:p w:rsidR="00822795" w:rsidRPr="00822795" w:rsidRDefault="00822795" w:rsidP="008227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2795">
        <w:rPr>
          <w:rFonts w:ascii="Times New Roman" w:eastAsia="Times New Roman" w:hAnsi="Times New Roman"/>
          <w:sz w:val="28"/>
          <w:szCs w:val="28"/>
          <w:lang w:eastAsia="ru-RU"/>
        </w:rPr>
        <w:t>Спортивные и спортивно-массовые мероприятия проводятся в соответствии с утвержденным районным календарным планом.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Для организации и проведения спортивно-массовой и физкультурно-оздоровительной работы </w:t>
      </w:r>
      <w:r w:rsidRPr="00822795">
        <w:rPr>
          <w:rFonts w:ascii="Times New Roman" w:hAnsi="Times New Roman"/>
          <w:color w:val="000000"/>
          <w:sz w:val="28"/>
          <w:szCs w:val="28"/>
        </w:rPr>
        <w:t xml:space="preserve">всех возрастных категорий населения </w:t>
      </w:r>
      <w:r w:rsidRPr="00822795">
        <w:rPr>
          <w:rFonts w:ascii="Times New Roman" w:hAnsi="Times New Roman"/>
          <w:sz w:val="28"/>
          <w:szCs w:val="28"/>
        </w:rPr>
        <w:t xml:space="preserve">используется база спортивных учреждений, учреждений общего среднего образования в которую включаются следующие спортивные объекты: 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37 – спортивных залов, 12 – тренажерных залов, 22 – спортивных ядра, 2 стадион с синтетическим покрытием, 2 поля для метаний, 4 хоккейные коробки, 32 помещения для хранения лыж, 1 гребная база.</w:t>
      </w:r>
    </w:p>
    <w:p w:rsidR="00822795" w:rsidRPr="00822795" w:rsidRDefault="00822795" w:rsidP="008227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Слайд 3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В районе имеются четыре действующих плавательных бассейна  - в я/с №13, Дворецкий я/с – СШ - бассейны с чашей 6 метров, СДЮШОР №2 – 1 чаша 25 метров, филиал ФОК «Тихиничи» СДЮШОР №1 - 1 чаша 25 метров, 1 чаша - 9 метров. </w:t>
      </w:r>
    </w:p>
    <w:p w:rsidR="00822795" w:rsidRPr="00822795" w:rsidRDefault="00822795" w:rsidP="008227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Имеющаяся спортивная база позволяет реализовывать мероприятия Государственной программы развития физической культуры и спорта в Республике Беларусь на 2016-2020 годы.</w:t>
      </w:r>
    </w:p>
    <w:p w:rsidR="00822795" w:rsidRPr="00822795" w:rsidRDefault="00822795" w:rsidP="008227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Отрадно отметить, что доведённые плановые целевые показатели программы выполняются:</w:t>
      </w:r>
    </w:p>
    <w:p w:rsidR="00822795" w:rsidRPr="00822795" w:rsidRDefault="00822795" w:rsidP="008227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количество лиц, занимающихся физической культурой и спортом, соответствует 23,0 %, при плановом показателе 23%; </w:t>
      </w:r>
    </w:p>
    <w:p w:rsidR="00822795" w:rsidRPr="00822795" w:rsidRDefault="00822795" w:rsidP="008227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охват учащихся учреждений общего среднего образования подготовкой СУСУ соответствует 20,28%, при плановом показателе 19,4%;</w:t>
      </w:r>
    </w:p>
    <w:p w:rsidR="00822795" w:rsidRPr="00822795" w:rsidRDefault="00822795" w:rsidP="008227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pacing w:val="-12"/>
          <w:sz w:val="28"/>
          <w:szCs w:val="28"/>
        </w:rPr>
        <w:t>охват спортсменов – учащихся специализированных учебно</w:t>
      </w:r>
      <w:r w:rsidRPr="00822795">
        <w:rPr>
          <w:rFonts w:ascii="Times New Roman" w:hAnsi="Times New Roman"/>
          <w:sz w:val="28"/>
          <w:szCs w:val="28"/>
        </w:rPr>
        <w:t xml:space="preserve">-спортивных учреждений оздоровлением и </w:t>
      </w:r>
      <w:r w:rsidRPr="00822795">
        <w:rPr>
          <w:rFonts w:ascii="Times New Roman" w:hAnsi="Times New Roman"/>
          <w:spacing w:val="-16"/>
          <w:sz w:val="28"/>
          <w:szCs w:val="28"/>
        </w:rPr>
        <w:t>учебно-тренировочным процессом в спортивно</w:t>
      </w:r>
      <w:r w:rsidRPr="00822795">
        <w:rPr>
          <w:rFonts w:ascii="Times New Roman" w:hAnsi="Times New Roman"/>
          <w:sz w:val="28"/>
          <w:szCs w:val="28"/>
        </w:rPr>
        <w:t>-</w:t>
      </w:r>
      <w:r w:rsidRPr="00822795">
        <w:rPr>
          <w:rFonts w:ascii="Times New Roman" w:hAnsi="Times New Roman"/>
          <w:spacing w:val="-4"/>
          <w:sz w:val="28"/>
          <w:szCs w:val="28"/>
        </w:rPr>
        <w:t>оздоровительных лагерях в летний канику</w:t>
      </w:r>
      <w:r w:rsidRPr="00822795">
        <w:rPr>
          <w:rFonts w:ascii="Times New Roman" w:hAnsi="Times New Roman"/>
          <w:sz w:val="28"/>
          <w:szCs w:val="28"/>
        </w:rPr>
        <w:t>лярный период – 49,8% при плановом показателе 47,8%;</w:t>
      </w:r>
    </w:p>
    <w:p w:rsidR="00822795" w:rsidRPr="00822795" w:rsidRDefault="00822795" w:rsidP="008227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количество спортсменов - учащихся СУСУ, повысивших спортивное мастерство до уровня </w:t>
      </w:r>
      <w:r w:rsidRPr="00822795">
        <w:rPr>
          <w:rFonts w:ascii="Times New Roman" w:hAnsi="Times New Roman"/>
          <w:sz w:val="28"/>
          <w:szCs w:val="28"/>
          <w:lang w:val="en-US"/>
        </w:rPr>
        <w:t>II</w:t>
      </w:r>
      <w:r w:rsidRPr="00822795">
        <w:rPr>
          <w:rFonts w:ascii="Times New Roman" w:hAnsi="Times New Roman"/>
          <w:sz w:val="28"/>
          <w:szCs w:val="28"/>
        </w:rPr>
        <w:t xml:space="preserve">, </w:t>
      </w:r>
      <w:r w:rsidRPr="00822795">
        <w:rPr>
          <w:rFonts w:ascii="Times New Roman" w:hAnsi="Times New Roman"/>
          <w:sz w:val="28"/>
          <w:szCs w:val="28"/>
          <w:lang w:val="en-US"/>
        </w:rPr>
        <w:t>III</w:t>
      </w:r>
      <w:r w:rsidRPr="00822795">
        <w:rPr>
          <w:rFonts w:ascii="Times New Roman" w:hAnsi="Times New Roman"/>
          <w:sz w:val="28"/>
          <w:szCs w:val="28"/>
        </w:rPr>
        <w:t xml:space="preserve"> и юношеских разрядов растёт и составляет 412 человек при плановом значении в 250 человек;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lastRenderedPageBreak/>
        <w:t xml:space="preserve">количество спортсменов - учащихся повысивших спортивное мастерство до </w:t>
      </w:r>
      <w:r w:rsidRPr="00822795">
        <w:rPr>
          <w:rFonts w:ascii="Times New Roman" w:hAnsi="Times New Roman"/>
          <w:sz w:val="28"/>
          <w:szCs w:val="28"/>
          <w:lang w:val="en-US"/>
        </w:rPr>
        <w:t>I</w:t>
      </w:r>
      <w:r w:rsidRPr="00822795">
        <w:rPr>
          <w:rFonts w:ascii="Times New Roman" w:hAnsi="Times New Roman"/>
          <w:sz w:val="28"/>
          <w:szCs w:val="28"/>
        </w:rPr>
        <w:t xml:space="preserve"> разряда и кандидата в мастера спорта 31 человек, при плановом показателе 15 человек.</w:t>
      </w:r>
    </w:p>
    <w:p w:rsidR="00822795" w:rsidRPr="00822795" w:rsidRDefault="00822795" w:rsidP="008227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822795">
        <w:rPr>
          <w:color w:val="000000"/>
          <w:sz w:val="28"/>
          <w:szCs w:val="28"/>
        </w:rPr>
        <w:t>В районе проводится определенная работа, направленная  на повышение эффективности использования физкультурно-спортивных сооружений:</w:t>
      </w:r>
    </w:p>
    <w:p w:rsidR="00822795" w:rsidRPr="00822795" w:rsidRDefault="00822795" w:rsidP="008227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822795">
        <w:rPr>
          <w:color w:val="000000"/>
          <w:sz w:val="28"/>
          <w:szCs w:val="28"/>
        </w:rPr>
        <w:t xml:space="preserve">активизировано информационное сопровождение оказываемых услуг через районную газету «Свободное слово» и  интернет-сайты спортивных учреждений; </w:t>
      </w:r>
    </w:p>
    <w:p w:rsidR="00822795" w:rsidRPr="00822795" w:rsidRDefault="00822795" w:rsidP="0082279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822795">
        <w:rPr>
          <w:color w:val="000000"/>
          <w:sz w:val="28"/>
          <w:szCs w:val="28"/>
        </w:rPr>
        <w:t xml:space="preserve">на дорогах расположены указатели ФОК «Тихиничи», в дневное время суток устанавливаются переносные указатели расположения спортивных объектов с перечнем спортивных услуг. 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Руководителями учебно-спортивных учреждений района своевременно выявляют падение спроса на услугу и принимаются управленческие решения, касающиеся ассортимента и стоимости услуг, позволяющих обеспечить максимальную загрузку спортивного объекта. 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На физкультурно-спортивных объектах района обеспечена стоимостная доступность, возможность получения льгот разным категориям граждан (многодетные семьи, инвалиды, пенсионеры), а также, возможность дифференцированной оплаты услуг. 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Важным элементом функционирования спортивных объектов является процесс заключения договоров на посещение спортивных объектов с предприятиями района. В 2018 году активно посещают спортивные объекты учреждения «СДЮШОР №1 Рогачёвского района» филиал ФОК «Тихиничи» профсоюзная организация филиала Рогачевского производственного управления «Рогачевгаз», ОАО «Рогачевский молочно-консервный комбинат». 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Учреждением «Рогачёвская СДЮШОР №2» в 2018 году посещают работники по заключенным договорам на посещение спортивных объектов представительства по Рогачевском району Белгосстрах, РУП «Гомельэнерго», Железнодорожной станцией Рогачев, РУЭС, КЖЭУП «Рогачев», Рогачевского РАЙПО, ДСУ-1, ГЛХУ «Рогачевский лесхоз», Рогачевского отдела Департамента охраны МВД РБ, ОАО з-д «Диапроектор» и многими другими. Однако имеется ряд предприятий, члены трудовых коллективов которых не посещают спортивные объекты.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Результаты выступлений учащихся-воспитанников на областных, республиканских соревнованиях говорят о проводимой</w:t>
      </w:r>
      <w:r w:rsidRPr="00822795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822795">
        <w:rPr>
          <w:rFonts w:ascii="Times New Roman" w:hAnsi="Times New Roman"/>
          <w:sz w:val="28"/>
          <w:szCs w:val="28"/>
        </w:rPr>
        <w:t>качественной работе в учебно-спортивных учреждениях. Район имеет высокие показатели присвоения спортивных разрядов учащимся-воспитанникам (гандбол, гребля на байдарках и каноэ, тяжёлая атлетика, лёгкая атлетика, футбол, шахматы), передаче воспитанников наших школ в учреждения высшего звена.</w:t>
      </w:r>
    </w:p>
    <w:p w:rsidR="00822795" w:rsidRDefault="00822795" w:rsidP="00822795">
      <w:pPr>
        <w:tabs>
          <w:tab w:val="left" w:pos="5745"/>
          <w:tab w:val="left" w:pos="5865"/>
        </w:tabs>
        <w:spacing w:after="0" w:line="240" w:lineRule="auto"/>
        <w:ind w:firstLine="560"/>
        <w:rPr>
          <w:rFonts w:ascii="Times New Roman" w:hAnsi="Times New Roman"/>
          <w:sz w:val="28"/>
          <w:szCs w:val="28"/>
        </w:rPr>
      </w:pPr>
    </w:p>
    <w:p w:rsidR="00822795" w:rsidRDefault="00822795" w:rsidP="00822795">
      <w:pPr>
        <w:tabs>
          <w:tab w:val="left" w:pos="5745"/>
          <w:tab w:val="left" w:pos="5865"/>
        </w:tabs>
        <w:spacing w:after="0" w:line="240" w:lineRule="auto"/>
        <w:ind w:firstLine="560"/>
        <w:rPr>
          <w:rFonts w:ascii="Times New Roman" w:hAnsi="Times New Roman"/>
          <w:sz w:val="28"/>
          <w:szCs w:val="28"/>
        </w:rPr>
      </w:pPr>
    </w:p>
    <w:p w:rsidR="00822795" w:rsidRPr="00822795" w:rsidRDefault="00822795" w:rsidP="00822795">
      <w:pPr>
        <w:tabs>
          <w:tab w:val="left" w:pos="5745"/>
          <w:tab w:val="left" w:pos="5865"/>
        </w:tabs>
        <w:spacing w:after="0" w:line="240" w:lineRule="auto"/>
        <w:ind w:firstLine="560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Присвоение разрядов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822795" w:rsidRPr="00822795" w:rsidTr="00EE44DF">
        <w:tc>
          <w:tcPr>
            <w:tcW w:w="2392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Период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1 разряд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КМС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МС</w:t>
            </w:r>
          </w:p>
        </w:tc>
      </w:tr>
      <w:tr w:rsidR="00822795" w:rsidRPr="00822795" w:rsidTr="00EE44DF">
        <w:tc>
          <w:tcPr>
            <w:tcW w:w="2392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795" w:rsidRPr="00822795" w:rsidTr="00EE44DF">
        <w:tc>
          <w:tcPr>
            <w:tcW w:w="2392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22795" w:rsidRPr="00822795" w:rsidTr="00EE44DF">
        <w:tc>
          <w:tcPr>
            <w:tcW w:w="2392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822795" w:rsidRPr="00822795" w:rsidRDefault="00822795" w:rsidP="00822795">
      <w:pPr>
        <w:tabs>
          <w:tab w:val="left" w:pos="5745"/>
          <w:tab w:val="left" w:pos="5865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Передача в высшее звено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822795" w:rsidRPr="00822795" w:rsidTr="00EE44DF">
        <w:tc>
          <w:tcPr>
            <w:tcW w:w="2392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Период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УОР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РЦОР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</w:tr>
      <w:tr w:rsidR="00822795" w:rsidRPr="00822795" w:rsidTr="00EE44DF">
        <w:tc>
          <w:tcPr>
            <w:tcW w:w="2392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795" w:rsidRPr="00822795" w:rsidTr="00EE44DF">
        <w:tc>
          <w:tcPr>
            <w:tcW w:w="2392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22795" w:rsidRPr="00822795" w:rsidTr="00EE44DF">
        <w:tc>
          <w:tcPr>
            <w:tcW w:w="2392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22795" w:rsidRPr="00822795" w:rsidRDefault="00822795" w:rsidP="00822795">
      <w:pPr>
        <w:tabs>
          <w:tab w:val="left" w:pos="5745"/>
          <w:tab w:val="left" w:pos="58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Стабильным остается количество воспитанников, включенных в составы национальных сборных команд Республики Беларусь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820"/>
      </w:tblGrid>
      <w:tr w:rsidR="00822795" w:rsidRPr="00822795" w:rsidTr="00EE44DF">
        <w:tc>
          <w:tcPr>
            <w:tcW w:w="4786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Период</w:t>
            </w:r>
          </w:p>
        </w:tc>
        <w:tc>
          <w:tcPr>
            <w:tcW w:w="4820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22795" w:rsidRPr="00822795" w:rsidTr="00EE44DF">
        <w:tc>
          <w:tcPr>
            <w:tcW w:w="4786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4820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795" w:rsidRPr="00822795" w:rsidTr="00EE44DF">
        <w:tc>
          <w:tcPr>
            <w:tcW w:w="4786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4820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2795" w:rsidRPr="00822795" w:rsidTr="00EE44DF">
        <w:tc>
          <w:tcPr>
            <w:tcW w:w="4786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4820" w:type="dxa"/>
          </w:tcPr>
          <w:p w:rsidR="00822795" w:rsidRPr="00822795" w:rsidRDefault="00822795" w:rsidP="00EE44DF">
            <w:pPr>
              <w:tabs>
                <w:tab w:val="left" w:pos="5745"/>
                <w:tab w:val="left" w:pos="58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27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 xml:space="preserve">Спортивная база района позволяет принимать и проводить на высоком уровне областные, республиканские соревнования. </w:t>
      </w:r>
    </w:p>
    <w:p w:rsidR="00DA568D" w:rsidRPr="00DA568D" w:rsidRDefault="00DA568D" w:rsidP="00DA56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ab/>
        <w:t xml:space="preserve">Так на спортивной базе ФОК «Тихиничи» проходят учебно-тренировочные сборы для стран ближнего зарубежья. В шестой раз приезжают команды из Москвы, Смоленска, Череповца для проведения учебно-тренировочных сборов по футболу, волейболу. 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Стали традиционными такие соревнования, как: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- Чемпионат Гомельской области по футболу;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- республиканская спартакиада среди сельских жителей по футболу;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 xml:space="preserve">- зимняя республиканская спартакиада Белорусского профсоюза работников агропромышленного комплекса; 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- областные отраслевые спартакиада среди строительных организаций; ЖКХ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- областной турнир по мини-футболу памяти участкового милиционера В.Н.Степанова среди правоохранительных ведомств Гомельской области и команд несовершеннолетних, состоящих на учёте в ИДН.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В 2018 году проведено первенство Республики Беларусь по шахматам среди юниоров, юниорок до 20 лет.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В шахматном зале ежегодно проводятся: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- личное первенство Гомельской области по шахматам среди юношей и девушек до 12 лет, юношей до 16 лет;</w:t>
      </w:r>
    </w:p>
    <w:p w:rsidR="00DA568D" w:rsidRPr="00DA568D" w:rsidRDefault="00DA568D" w:rsidP="00DA568D">
      <w:pPr>
        <w:pStyle w:val="aa"/>
        <w:ind w:firstLine="708"/>
        <w:jc w:val="both"/>
        <w:rPr>
          <w:sz w:val="28"/>
          <w:szCs w:val="28"/>
        </w:rPr>
      </w:pPr>
      <w:r w:rsidRPr="00DA568D">
        <w:rPr>
          <w:sz w:val="28"/>
          <w:szCs w:val="28"/>
        </w:rPr>
        <w:t>- шахматный турнир «Рогачёвская осень – 2019»;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 xml:space="preserve">- республиканский шахматный турнир памяти С.В.Шеверняева. 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В зале игровых видов спорта государственного учебно-спортивного учреждения «Рогачёвская СДЮШОР №2» с 2008 года проходит открытый республиканский турнир по гандболу памяти игрока национальной команды Республики Беларусь Ольги Кондратьевой.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В июне 2019 году запланирован открытый турнир по лёгкой атлетике с приглашением команд г.Жлобина, г.Ельска на центральном стадионе, А 22-28 июля 2019 года на Рогачёвской земле пройдёт Чемпионат Республики Беларусь среди клубных команд, коллективов физкультуры по шахматам.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 xml:space="preserve">Наличие разноплановой спортивной базы в районе позволяет ФСК </w:t>
      </w:r>
    </w:p>
    <w:p w:rsidR="00DA568D" w:rsidRPr="00DA568D" w:rsidRDefault="00DA568D" w:rsidP="00DA56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«Урожай» проводить большую работа с населением: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 xml:space="preserve">- проводится спартакиада района по 11 видам спорта среди сельских коллективов физкультуры. Традиционным стало проведение однодневной спартакиады среди сельских советов по шести видам спорта. 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>- в актив Рогачевского района необходимо занести ежегодную круглогодичную спартакиаду среди коллективов физкультуры города, в которой принимают участие предприятия, организации и учреждения города. В программу спартакиады включаются 15 наиболее доступных видов спорта. На протяжения последних лет участие в спартакиаде принимают 16 команд.</w:t>
      </w:r>
    </w:p>
    <w:p w:rsidR="00DA568D" w:rsidRPr="00DA568D" w:rsidRDefault="00DA568D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568D">
        <w:rPr>
          <w:rFonts w:ascii="Times New Roman" w:hAnsi="Times New Roman"/>
          <w:sz w:val="28"/>
          <w:szCs w:val="28"/>
        </w:rPr>
        <w:t xml:space="preserve">- уделяется большое внимание семейным спортивным мероприятиям, которые проходят под девизом «Папа, мама, я – спортивная семья», «Вместе с папой, вместе с мамой». Традиционным стало проведение турнира по волейболу среди женских команд, по месту жительства, посвященного Дню 8 Марта. На хорошем организационном уровне проходит лыжня микрорайонов под девизом «Добрые соседи». </w:t>
      </w:r>
    </w:p>
    <w:p w:rsidR="00822795" w:rsidRPr="00822795" w:rsidRDefault="00822795" w:rsidP="00DA56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В нашем районе стали появляться хорошие спортивные традиции. Так на областных соревнованиях по плаванию среди младших школьников на призы Александры Герасимени «Золотая рыбка» учащиеся района трижды становились призёрами областных соревнований. </w:t>
      </w:r>
    </w:p>
    <w:p w:rsidR="00822795" w:rsidRPr="00822795" w:rsidRDefault="00822795" w:rsidP="008227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Семейная эстафета тренеров СДЮШОР №2 Ермоленко и  их двое детей, учащихся СШ № 5, трижды поднимались на пьедестал областных и республиканских соревнований. В 2018 году эту традицию поддержала семья Беленченко с сыном Александром, учащимся СШ №6: победив на областных соревнованиях, семья заняла третье место на республиканском старте. </w:t>
      </w:r>
    </w:p>
    <w:p w:rsidR="00822795" w:rsidRPr="00822795" w:rsidRDefault="00822795" w:rsidP="0082279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Ежегодно учебно-спортивными учреждениями осуществляется передача спортсменов в училища олимпийского резерва (в год не менее 10). На высоком организационном уровне проходит подготовка спортсменов высокого класса. </w:t>
      </w:r>
    </w:p>
    <w:p w:rsidR="00822795" w:rsidRPr="00822795" w:rsidRDefault="00822795" w:rsidP="0082279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В составе национальных команд по гребле на байдарках, гандболу, лёгкой атлетике, футболу проходят тренировочный процесс 14 воспитанников. </w:t>
      </w:r>
    </w:p>
    <w:p w:rsidR="00822795" w:rsidRPr="00822795" w:rsidRDefault="00822795" w:rsidP="0082279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 xml:space="preserve">Преподавателем СДЮШОР № 1 является участник  </w:t>
      </w:r>
      <w:r w:rsidRPr="00822795">
        <w:rPr>
          <w:rFonts w:ascii="Times New Roman" w:hAnsi="Times New Roman"/>
          <w:sz w:val="28"/>
          <w:szCs w:val="28"/>
          <w:lang w:val="en-US"/>
        </w:rPr>
        <w:t>XXXI</w:t>
      </w:r>
      <w:r w:rsidRPr="00822795">
        <w:rPr>
          <w:rFonts w:ascii="Times New Roman" w:hAnsi="Times New Roman"/>
          <w:sz w:val="28"/>
          <w:szCs w:val="28"/>
        </w:rPr>
        <w:t xml:space="preserve"> летних Олимпийских игр в Бразилии по лёгкой атлетике Бондаренко Артём, которыцй сейчас передает свое мастерство юным спортсменам. </w:t>
      </w:r>
    </w:p>
    <w:p w:rsidR="00822795" w:rsidRPr="00822795" w:rsidRDefault="00822795" w:rsidP="0082279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22795">
        <w:rPr>
          <w:rFonts w:ascii="Times New Roman" w:hAnsi="Times New Roman"/>
          <w:sz w:val="28"/>
          <w:szCs w:val="28"/>
        </w:rPr>
        <w:t>Богатые медальные традиции Рогачевщины по гребле на байдарках и каноэ продолжают молодые воспитанники СДЮШОР №2 - Юрченко Софья, Бориков Никита, Велькова Елизавета.</w:t>
      </w:r>
    </w:p>
    <w:p w:rsidR="00CC0E3B" w:rsidRPr="00822795" w:rsidRDefault="00052C73">
      <w:pPr>
        <w:rPr>
          <w:rFonts w:ascii="Times New Roman" w:hAnsi="Times New Roman"/>
          <w:sz w:val="28"/>
          <w:szCs w:val="28"/>
        </w:rPr>
      </w:pPr>
    </w:p>
    <w:sectPr w:rsidR="00CC0E3B" w:rsidRPr="0082279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C73" w:rsidRDefault="00052C73" w:rsidP="00822795">
      <w:pPr>
        <w:spacing w:after="0" w:line="240" w:lineRule="auto"/>
      </w:pPr>
      <w:r>
        <w:separator/>
      </w:r>
    </w:p>
  </w:endnote>
  <w:endnote w:type="continuationSeparator" w:id="0">
    <w:p w:rsidR="00052C73" w:rsidRDefault="00052C73" w:rsidP="0082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C73" w:rsidRDefault="00052C73" w:rsidP="00822795">
      <w:pPr>
        <w:spacing w:after="0" w:line="240" w:lineRule="auto"/>
      </w:pPr>
      <w:r>
        <w:separator/>
      </w:r>
    </w:p>
  </w:footnote>
  <w:footnote w:type="continuationSeparator" w:id="0">
    <w:p w:rsidR="00052C73" w:rsidRDefault="00052C73" w:rsidP="00822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4111389"/>
      <w:docPartObj>
        <w:docPartGallery w:val="Page Numbers (Top of Page)"/>
        <w:docPartUnique/>
      </w:docPartObj>
    </w:sdtPr>
    <w:sdtEndPr/>
    <w:sdtContent>
      <w:p w:rsidR="00822795" w:rsidRDefault="008227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C73">
          <w:rPr>
            <w:noProof/>
          </w:rPr>
          <w:t>1</w:t>
        </w:r>
        <w:r>
          <w:fldChar w:fldCharType="end"/>
        </w:r>
      </w:p>
    </w:sdtContent>
  </w:sdt>
  <w:p w:rsidR="00822795" w:rsidRDefault="0082279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3502"/>
    <w:multiLevelType w:val="hybridMultilevel"/>
    <w:tmpl w:val="FB020DDC"/>
    <w:lvl w:ilvl="0" w:tplc="E09A22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47217D"/>
    <w:multiLevelType w:val="hybridMultilevel"/>
    <w:tmpl w:val="ED1C0D2A"/>
    <w:lvl w:ilvl="0" w:tplc="CF4C5616">
      <w:start w:val="3"/>
      <w:numFmt w:val="decimal"/>
      <w:lvlText w:val="%1."/>
      <w:lvlJc w:val="left"/>
      <w:pPr>
        <w:ind w:left="3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8" w:hanging="360"/>
      </w:pPr>
    </w:lvl>
    <w:lvl w:ilvl="2" w:tplc="0419001B" w:tentative="1">
      <w:start w:val="1"/>
      <w:numFmt w:val="lowerRoman"/>
      <w:lvlText w:val="%3."/>
      <w:lvlJc w:val="right"/>
      <w:pPr>
        <w:ind w:left="5018" w:hanging="180"/>
      </w:pPr>
    </w:lvl>
    <w:lvl w:ilvl="3" w:tplc="0419000F" w:tentative="1">
      <w:start w:val="1"/>
      <w:numFmt w:val="decimal"/>
      <w:lvlText w:val="%4."/>
      <w:lvlJc w:val="left"/>
      <w:pPr>
        <w:ind w:left="5738" w:hanging="360"/>
      </w:pPr>
    </w:lvl>
    <w:lvl w:ilvl="4" w:tplc="04190019" w:tentative="1">
      <w:start w:val="1"/>
      <w:numFmt w:val="lowerLetter"/>
      <w:lvlText w:val="%5."/>
      <w:lvlJc w:val="left"/>
      <w:pPr>
        <w:ind w:left="6458" w:hanging="360"/>
      </w:pPr>
    </w:lvl>
    <w:lvl w:ilvl="5" w:tplc="0419001B" w:tentative="1">
      <w:start w:val="1"/>
      <w:numFmt w:val="lowerRoman"/>
      <w:lvlText w:val="%6."/>
      <w:lvlJc w:val="right"/>
      <w:pPr>
        <w:ind w:left="7178" w:hanging="180"/>
      </w:pPr>
    </w:lvl>
    <w:lvl w:ilvl="6" w:tplc="0419000F" w:tentative="1">
      <w:start w:val="1"/>
      <w:numFmt w:val="decimal"/>
      <w:lvlText w:val="%7."/>
      <w:lvlJc w:val="left"/>
      <w:pPr>
        <w:ind w:left="7898" w:hanging="360"/>
      </w:pPr>
    </w:lvl>
    <w:lvl w:ilvl="7" w:tplc="04190019" w:tentative="1">
      <w:start w:val="1"/>
      <w:numFmt w:val="lowerLetter"/>
      <w:lvlText w:val="%8."/>
      <w:lvlJc w:val="left"/>
      <w:pPr>
        <w:ind w:left="8618" w:hanging="360"/>
      </w:pPr>
    </w:lvl>
    <w:lvl w:ilvl="8" w:tplc="0419001B" w:tentative="1">
      <w:start w:val="1"/>
      <w:numFmt w:val="lowerRoman"/>
      <w:lvlText w:val="%9."/>
      <w:lvlJc w:val="right"/>
      <w:pPr>
        <w:ind w:left="9338" w:hanging="180"/>
      </w:pPr>
    </w:lvl>
  </w:abstractNum>
  <w:abstractNum w:abstractNumId="2">
    <w:nsid w:val="59F555D6"/>
    <w:multiLevelType w:val="hybridMultilevel"/>
    <w:tmpl w:val="80801A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795"/>
    <w:rsid w:val="00052C73"/>
    <w:rsid w:val="0016554C"/>
    <w:rsid w:val="00822795"/>
    <w:rsid w:val="008378F2"/>
    <w:rsid w:val="00DA568D"/>
    <w:rsid w:val="00FB33CD"/>
    <w:rsid w:val="00FB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22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279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2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7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2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795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DA5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22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279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2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7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2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795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DA5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C8DB0-8101-4EF6-92E2-FA78E9033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2019-07-12T12:23:00Z</dcterms:created>
  <dcterms:modified xsi:type="dcterms:W3CDTF">2019-07-12T12:23:00Z</dcterms:modified>
</cp:coreProperties>
</file>